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41030" w14:textId="77777777" w:rsidR="00CA2E0D" w:rsidRPr="004A1E29" w:rsidRDefault="00CA2E0D" w:rsidP="00CA2E0D">
      <w:pPr>
        <w:spacing w:after="120" w:line="240" w:lineRule="auto"/>
        <w:rPr>
          <w:rFonts w:cstheme="minorHAnsi"/>
          <w:b/>
          <w:lang w:val="en-GB"/>
        </w:rPr>
      </w:pPr>
      <w:r w:rsidRPr="004A1E29">
        <w:rPr>
          <w:rFonts w:cstheme="minorHAnsi"/>
          <w:b/>
          <w:bCs/>
          <w:lang w:val="en-GB"/>
        </w:rPr>
        <w:t>Appendix 5: Tenderer’s Statement</w:t>
      </w:r>
    </w:p>
    <w:tbl>
      <w:tblPr>
        <w:tblStyle w:val="Tabela-Siatka"/>
        <w:tblW w:w="0" w:type="auto"/>
        <w:tblLook w:val="04A0" w:firstRow="1" w:lastRow="0" w:firstColumn="1" w:lastColumn="0" w:noHBand="0" w:noVBand="1"/>
      </w:tblPr>
      <w:tblGrid>
        <w:gridCol w:w="3256"/>
        <w:gridCol w:w="2693"/>
      </w:tblGrid>
      <w:tr w:rsidR="00CA2E0D" w:rsidRPr="00755961" w14:paraId="6442355A" w14:textId="77777777" w:rsidTr="00CA2E0D">
        <w:tc>
          <w:tcPr>
            <w:tcW w:w="3256" w:type="dxa"/>
          </w:tcPr>
          <w:p w14:paraId="38DDB883" w14:textId="77777777" w:rsidR="00CA2E0D" w:rsidRPr="004A1E29" w:rsidRDefault="00CA2E0D" w:rsidP="00CA2E0D">
            <w:pPr>
              <w:spacing w:after="120"/>
              <w:rPr>
                <w:rFonts w:cstheme="minorHAnsi"/>
                <w:sz w:val="22"/>
                <w:lang w:val="en-GB"/>
              </w:rPr>
            </w:pPr>
            <w:r w:rsidRPr="004A1E29">
              <w:rPr>
                <w:rFonts w:cstheme="minorHAnsi"/>
                <w:b/>
                <w:bCs/>
                <w:sz w:val="22"/>
                <w:lang w:val="en-GB"/>
              </w:rPr>
              <w:t>First name and surname/name</w:t>
            </w:r>
            <w:r w:rsidRPr="004A1E29">
              <w:rPr>
                <w:rStyle w:val="Odwoanieprzypisudolnego"/>
                <w:rFonts w:eastAsia="Calibri" w:cstheme="minorHAnsi"/>
                <w:b/>
                <w:bCs/>
                <w:sz w:val="22"/>
                <w:lang w:val="en-GB"/>
              </w:rPr>
              <w:footnoteReference w:id="2"/>
            </w:r>
            <w:r w:rsidRPr="004A1E29">
              <w:rPr>
                <w:rFonts w:cstheme="minorHAnsi"/>
                <w:b/>
                <w:bCs/>
                <w:sz w:val="22"/>
                <w:lang w:val="en-GB"/>
              </w:rPr>
              <w:t>:</w:t>
            </w:r>
          </w:p>
        </w:tc>
        <w:tc>
          <w:tcPr>
            <w:tcW w:w="2693" w:type="dxa"/>
          </w:tcPr>
          <w:p w14:paraId="2CFC4079" w14:textId="77777777" w:rsidR="00CA2E0D" w:rsidRPr="004A1E29" w:rsidRDefault="00CA2E0D" w:rsidP="00CA2E0D">
            <w:pPr>
              <w:spacing w:after="120"/>
              <w:jc w:val="right"/>
              <w:rPr>
                <w:rFonts w:cstheme="minorHAnsi"/>
                <w:sz w:val="22"/>
                <w:lang w:val="en-GB"/>
              </w:rPr>
            </w:pPr>
          </w:p>
        </w:tc>
      </w:tr>
      <w:tr w:rsidR="00CA2E0D" w:rsidRPr="004A1E29" w14:paraId="65EDDA83" w14:textId="77777777" w:rsidTr="00CA2E0D">
        <w:tc>
          <w:tcPr>
            <w:tcW w:w="3256" w:type="dxa"/>
          </w:tcPr>
          <w:p w14:paraId="5B059DE7" w14:textId="77777777" w:rsidR="00CA2E0D" w:rsidRPr="004A1E29" w:rsidRDefault="00CA2E0D" w:rsidP="00CA2E0D">
            <w:pPr>
              <w:spacing w:after="120"/>
              <w:rPr>
                <w:rFonts w:cstheme="minorHAnsi"/>
                <w:b/>
                <w:sz w:val="22"/>
                <w:lang w:val="en-GB"/>
              </w:rPr>
            </w:pPr>
            <w:r w:rsidRPr="004A1E29">
              <w:rPr>
                <w:rFonts w:cstheme="minorHAnsi"/>
                <w:b/>
                <w:bCs/>
                <w:sz w:val="22"/>
                <w:lang w:val="en-GB"/>
              </w:rPr>
              <w:t>Address/seat:</w:t>
            </w:r>
          </w:p>
          <w:p w14:paraId="01878974" w14:textId="77777777" w:rsidR="00CA2E0D" w:rsidRPr="004A1E29" w:rsidRDefault="00CA2E0D" w:rsidP="00CA2E0D">
            <w:pPr>
              <w:spacing w:after="120"/>
              <w:rPr>
                <w:rFonts w:cstheme="minorHAnsi"/>
                <w:sz w:val="22"/>
                <w:lang w:val="en-GB"/>
              </w:rPr>
            </w:pPr>
          </w:p>
        </w:tc>
        <w:tc>
          <w:tcPr>
            <w:tcW w:w="2693" w:type="dxa"/>
          </w:tcPr>
          <w:p w14:paraId="47B0D525" w14:textId="77777777" w:rsidR="00CA2E0D" w:rsidRPr="004A1E29" w:rsidRDefault="00CA2E0D" w:rsidP="00CA2E0D">
            <w:pPr>
              <w:spacing w:after="120"/>
              <w:jc w:val="right"/>
              <w:rPr>
                <w:rFonts w:cstheme="minorHAnsi"/>
                <w:sz w:val="22"/>
                <w:lang w:val="en-GB"/>
              </w:rPr>
            </w:pPr>
          </w:p>
        </w:tc>
      </w:tr>
      <w:tr w:rsidR="00CA2E0D" w:rsidRPr="00755961" w14:paraId="46A43B06" w14:textId="77777777" w:rsidTr="00CA2E0D">
        <w:tc>
          <w:tcPr>
            <w:tcW w:w="3256" w:type="dxa"/>
          </w:tcPr>
          <w:p w14:paraId="70E4B25F" w14:textId="77777777" w:rsidR="00CA2E0D" w:rsidRPr="004A1E29" w:rsidRDefault="00CA2E0D" w:rsidP="00CA2E0D">
            <w:pPr>
              <w:spacing w:after="120"/>
              <w:rPr>
                <w:rFonts w:cstheme="minorHAnsi"/>
                <w:sz w:val="22"/>
                <w:lang w:val="en-GB"/>
              </w:rPr>
            </w:pPr>
            <w:r w:rsidRPr="004A1E29">
              <w:rPr>
                <w:rFonts w:cstheme="minorHAnsi"/>
                <w:b/>
                <w:bCs/>
                <w:sz w:val="22"/>
                <w:lang w:val="en-GB"/>
              </w:rPr>
              <w:t>Name of the register/record</w:t>
            </w:r>
            <w:r w:rsidRPr="004A1E29">
              <w:rPr>
                <w:rStyle w:val="Odwoanieprzypisudolnego"/>
                <w:rFonts w:eastAsia="Calibri" w:cstheme="minorHAnsi"/>
                <w:b/>
                <w:bCs/>
                <w:sz w:val="22"/>
                <w:lang w:val="en-GB"/>
              </w:rPr>
              <w:footnoteReference w:id="3"/>
            </w:r>
            <w:r w:rsidRPr="004A1E29">
              <w:rPr>
                <w:rFonts w:cstheme="minorHAnsi"/>
                <w:b/>
                <w:bCs/>
                <w:sz w:val="22"/>
                <w:lang w:val="en-GB"/>
              </w:rPr>
              <w:t>:</w:t>
            </w:r>
          </w:p>
        </w:tc>
        <w:tc>
          <w:tcPr>
            <w:tcW w:w="2693" w:type="dxa"/>
          </w:tcPr>
          <w:p w14:paraId="109BDE1A" w14:textId="77777777" w:rsidR="00CA2E0D" w:rsidRPr="004A1E29" w:rsidRDefault="00CA2E0D" w:rsidP="00CA2E0D">
            <w:pPr>
              <w:spacing w:after="120"/>
              <w:jc w:val="right"/>
              <w:rPr>
                <w:rFonts w:cstheme="minorHAnsi"/>
                <w:sz w:val="22"/>
                <w:lang w:val="en-GB"/>
              </w:rPr>
            </w:pPr>
          </w:p>
        </w:tc>
      </w:tr>
      <w:tr w:rsidR="00CA2E0D" w:rsidRPr="00755961" w14:paraId="5D41EE5A" w14:textId="77777777" w:rsidTr="00CA2E0D">
        <w:tc>
          <w:tcPr>
            <w:tcW w:w="3256" w:type="dxa"/>
          </w:tcPr>
          <w:p w14:paraId="25793C22" w14:textId="77777777" w:rsidR="00CA2E0D" w:rsidRPr="004A1E29" w:rsidRDefault="00CA2E0D" w:rsidP="00CA2E0D">
            <w:pPr>
              <w:spacing w:after="120"/>
              <w:rPr>
                <w:rFonts w:cstheme="minorHAnsi"/>
                <w:b/>
                <w:sz w:val="22"/>
                <w:lang w:val="en-GB"/>
              </w:rPr>
            </w:pPr>
            <w:r w:rsidRPr="004A1E29">
              <w:rPr>
                <w:rFonts w:cstheme="minorHAnsi"/>
                <w:b/>
                <w:bCs/>
                <w:sz w:val="22"/>
                <w:lang w:val="en-GB"/>
              </w:rPr>
              <w:t>Number of register/record entry</w:t>
            </w:r>
            <w:r w:rsidRPr="004A1E29">
              <w:rPr>
                <w:rStyle w:val="Odwoanieprzypisudolnego"/>
                <w:rFonts w:cstheme="minorHAnsi"/>
                <w:b/>
                <w:bCs/>
                <w:sz w:val="22"/>
                <w:lang w:val="en-GB"/>
              </w:rPr>
              <w:footnoteReference w:id="4"/>
            </w:r>
            <w:r w:rsidRPr="004A1E29">
              <w:rPr>
                <w:rFonts w:cstheme="minorHAnsi"/>
                <w:b/>
                <w:bCs/>
                <w:sz w:val="22"/>
                <w:lang w:val="en-GB"/>
              </w:rPr>
              <w:t>:</w:t>
            </w:r>
          </w:p>
          <w:p w14:paraId="3704ADDB" w14:textId="77777777" w:rsidR="00CA2E0D" w:rsidRPr="004A1E29" w:rsidRDefault="00CA2E0D" w:rsidP="00CA2E0D">
            <w:pPr>
              <w:spacing w:after="120"/>
              <w:rPr>
                <w:rFonts w:cstheme="minorHAnsi"/>
                <w:b/>
                <w:sz w:val="22"/>
                <w:lang w:val="en-GB"/>
              </w:rPr>
            </w:pPr>
            <w:r w:rsidRPr="004A1E29">
              <w:rPr>
                <w:rFonts w:cstheme="minorHAnsi"/>
                <w:b/>
                <w:bCs/>
                <w:sz w:val="22"/>
                <w:lang w:val="en-GB"/>
              </w:rPr>
              <w:t>or</w:t>
            </w:r>
          </w:p>
          <w:p w14:paraId="498E8BAA" w14:textId="77777777" w:rsidR="00CA2E0D" w:rsidRPr="004A1E29" w:rsidRDefault="00CA2E0D" w:rsidP="00CA2E0D">
            <w:pPr>
              <w:spacing w:after="120"/>
              <w:rPr>
                <w:rFonts w:cstheme="minorHAnsi"/>
                <w:sz w:val="22"/>
                <w:lang w:val="en-GB"/>
              </w:rPr>
            </w:pPr>
            <w:r w:rsidRPr="004A1E29">
              <w:rPr>
                <w:rFonts w:cstheme="minorHAnsi"/>
                <w:b/>
                <w:bCs/>
                <w:sz w:val="22"/>
                <w:lang w:val="en-GB"/>
              </w:rPr>
              <w:t>Identity card number or passport number</w:t>
            </w:r>
            <w:r w:rsidRPr="004A1E29">
              <w:rPr>
                <w:rStyle w:val="Odwoanieprzypisudolnego"/>
                <w:rFonts w:cstheme="minorHAnsi"/>
                <w:b/>
                <w:bCs/>
                <w:sz w:val="22"/>
                <w:lang w:val="en-GB"/>
              </w:rPr>
              <w:footnoteReference w:id="5"/>
            </w:r>
          </w:p>
        </w:tc>
        <w:tc>
          <w:tcPr>
            <w:tcW w:w="2693" w:type="dxa"/>
          </w:tcPr>
          <w:p w14:paraId="7C90E22E" w14:textId="77777777" w:rsidR="00CA2E0D" w:rsidRPr="004A1E29" w:rsidRDefault="00CA2E0D" w:rsidP="00CA2E0D">
            <w:pPr>
              <w:spacing w:after="120"/>
              <w:jc w:val="right"/>
              <w:rPr>
                <w:rFonts w:cstheme="minorHAnsi"/>
                <w:sz w:val="22"/>
                <w:lang w:val="en-GB"/>
              </w:rPr>
            </w:pPr>
          </w:p>
        </w:tc>
      </w:tr>
    </w:tbl>
    <w:p w14:paraId="4561E569" w14:textId="77777777" w:rsidR="00CA2E0D" w:rsidRPr="00D51CD3" w:rsidRDefault="00CA2E0D" w:rsidP="00CA2E0D">
      <w:pPr>
        <w:spacing w:after="120" w:line="240" w:lineRule="auto"/>
      </w:pPr>
      <w:r w:rsidRPr="00D51CD3">
        <w:t>(</w:t>
      </w:r>
      <w:proofErr w:type="spellStart"/>
      <w:r w:rsidRPr="00D51CD3">
        <w:t>hereinafter</w:t>
      </w:r>
      <w:proofErr w:type="spellEnd"/>
      <w:r w:rsidRPr="00D51CD3">
        <w:t>: “</w:t>
      </w:r>
      <w:proofErr w:type="spellStart"/>
      <w:r w:rsidRPr="00D51CD3">
        <w:rPr>
          <w:b/>
        </w:rPr>
        <w:t>Tenderer</w:t>
      </w:r>
      <w:proofErr w:type="spellEnd"/>
      <w:r w:rsidRPr="00D51CD3">
        <w:t>”)</w:t>
      </w:r>
    </w:p>
    <w:p w14:paraId="57AACA81" w14:textId="77777777" w:rsidR="00CA2E0D" w:rsidRPr="00D51CD3" w:rsidRDefault="00CA2E0D" w:rsidP="00CA2E0D">
      <w:pPr>
        <w:spacing w:after="120" w:line="240" w:lineRule="auto"/>
        <w:rPr>
          <w:b/>
        </w:rPr>
      </w:pPr>
    </w:p>
    <w:p w14:paraId="4E279D24" w14:textId="77777777" w:rsidR="00CA2E0D" w:rsidRPr="004A1E29" w:rsidRDefault="00CA2E0D" w:rsidP="00CA2E0D">
      <w:pPr>
        <w:spacing w:after="120" w:line="240" w:lineRule="auto"/>
        <w:jc w:val="center"/>
        <w:rPr>
          <w:rFonts w:cstheme="minorHAnsi"/>
          <w:b/>
          <w:lang w:val="en-GB"/>
        </w:rPr>
      </w:pPr>
      <w:r w:rsidRPr="004A1E29">
        <w:rPr>
          <w:rFonts w:cstheme="minorHAnsi"/>
          <w:b/>
          <w:bCs/>
          <w:lang w:val="en-GB"/>
        </w:rPr>
        <w:t>TENDERER’S STATEMENT</w:t>
      </w:r>
      <w:r w:rsidRPr="004A1E29">
        <w:rPr>
          <w:rStyle w:val="Odwoanieprzypisudolnego"/>
          <w:rFonts w:cstheme="minorHAnsi"/>
          <w:b/>
          <w:bCs/>
          <w:lang w:val="en-GB"/>
        </w:rPr>
        <w:footnoteReference w:id="6"/>
      </w:r>
    </w:p>
    <w:p w14:paraId="60C44598" w14:textId="77777777" w:rsidR="00CA2E0D" w:rsidRPr="004A1E29" w:rsidRDefault="00CA2E0D" w:rsidP="00CA2E0D">
      <w:pPr>
        <w:pStyle w:val="Akapitzlist"/>
        <w:numPr>
          <w:ilvl w:val="0"/>
          <w:numId w:val="2"/>
        </w:numPr>
        <w:suppressAutoHyphens/>
        <w:autoSpaceDN w:val="0"/>
        <w:spacing w:after="120" w:line="240" w:lineRule="auto"/>
        <w:ind w:left="709"/>
        <w:contextualSpacing w:val="0"/>
        <w:jc w:val="both"/>
        <w:textAlignment w:val="baseline"/>
        <w:rPr>
          <w:rFonts w:cstheme="minorHAnsi"/>
          <w:b/>
          <w:u w:val="single"/>
          <w:lang w:val="en-GB"/>
        </w:rPr>
      </w:pPr>
      <w:r w:rsidRPr="004A1E29">
        <w:rPr>
          <w:rFonts w:cstheme="minorHAnsi"/>
          <w:b/>
          <w:bCs/>
          <w:u w:val="single"/>
          <w:lang w:val="en-GB"/>
        </w:rPr>
        <w:t>Status and authority of the Tenderer</w:t>
      </w:r>
    </w:p>
    <w:p w14:paraId="64AEB80D" w14:textId="77777777" w:rsidR="00CA2E0D" w:rsidRPr="004A1E29" w:rsidRDefault="00CA2E0D" w:rsidP="00CA2E0D">
      <w:pPr>
        <w:pStyle w:val="Akapitzlist"/>
        <w:numPr>
          <w:ilvl w:val="1"/>
          <w:numId w:val="2"/>
        </w:numPr>
        <w:suppressAutoHyphens/>
        <w:autoSpaceDN w:val="0"/>
        <w:spacing w:after="120" w:line="240" w:lineRule="auto"/>
        <w:contextualSpacing w:val="0"/>
        <w:jc w:val="both"/>
        <w:textAlignment w:val="baseline"/>
        <w:rPr>
          <w:rFonts w:cstheme="minorHAnsi"/>
          <w:lang w:val="en-GB"/>
        </w:rPr>
      </w:pPr>
      <w:r w:rsidRPr="004A1E29">
        <w:rPr>
          <w:rFonts w:cstheme="minorHAnsi"/>
          <w:highlight w:val="lightGray"/>
          <w:lang w:val="en-GB"/>
        </w:rPr>
        <w:t xml:space="preserve">The Tenderer has been duly incorporated and operates in compliance with the governing law of the place of incorporation and/or registration of the Tenderer/filed a relevant application for entry to the register/permission </w:t>
      </w:r>
      <w:proofErr w:type="gramStart"/>
      <w:r w:rsidRPr="004A1E29">
        <w:rPr>
          <w:rFonts w:cstheme="minorHAnsi"/>
          <w:highlight w:val="lightGray"/>
          <w:lang w:val="en-GB"/>
        </w:rPr>
        <w:t>in order to</w:t>
      </w:r>
      <w:proofErr w:type="gramEnd"/>
      <w:r w:rsidRPr="004A1E29">
        <w:rPr>
          <w:rFonts w:cstheme="minorHAnsi"/>
          <w:highlight w:val="lightGray"/>
          <w:lang w:val="en-GB"/>
        </w:rPr>
        <w:t xml:space="preserve"> be allowed by law to run a business</w:t>
      </w:r>
      <w:r w:rsidRPr="004A1E29">
        <w:rPr>
          <w:rStyle w:val="Odwoanieprzypisudolnego"/>
          <w:rFonts w:cstheme="minorHAnsi"/>
          <w:lang w:val="en-GB"/>
        </w:rPr>
        <w:footnoteReference w:id="7"/>
      </w:r>
      <w:r w:rsidRPr="004A1E29">
        <w:rPr>
          <w:rFonts w:cstheme="minorHAnsi"/>
          <w:lang w:val="en-GB"/>
        </w:rPr>
        <w:t>.</w:t>
      </w:r>
    </w:p>
    <w:p w14:paraId="1DD7B0C7" w14:textId="77777777" w:rsidR="00CA2E0D" w:rsidRPr="004A1E29" w:rsidRDefault="00CA2E0D" w:rsidP="00CA2E0D">
      <w:pPr>
        <w:pStyle w:val="Akapitzlist"/>
        <w:numPr>
          <w:ilvl w:val="1"/>
          <w:numId w:val="2"/>
        </w:numPr>
        <w:suppressAutoHyphens/>
        <w:autoSpaceDN w:val="0"/>
        <w:spacing w:after="120" w:line="240" w:lineRule="auto"/>
        <w:contextualSpacing w:val="0"/>
        <w:jc w:val="both"/>
        <w:textAlignment w:val="baseline"/>
        <w:rPr>
          <w:rFonts w:cstheme="minorHAnsi"/>
          <w:lang w:val="en-GB"/>
        </w:rPr>
      </w:pPr>
      <w:r w:rsidRPr="004A1E29">
        <w:rPr>
          <w:rFonts w:cstheme="minorHAnsi"/>
          <w:lang w:val="en-GB"/>
        </w:rPr>
        <w:t>The Tenderer has full capacity and authority to submit the Tender in connection with the Rules for the Submission and Selection of Tenders for Financial Intermediaries (hereinafter: the “</w:t>
      </w:r>
      <w:r w:rsidRPr="004A1E29">
        <w:rPr>
          <w:rFonts w:cstheme="minorHAnsi"/>
          <w:b/>
          <w:bCs/>
          <w:lang w:val="en-GB"/>
        </w:rPr>
        <w:t>Rules</w:t>
      </w:r>
      <w:r w:rsidRPr="004A1E29">
        <w:rPr>
          <w:rFonts w:cstheme="minorHAnsi"/>
          <w:lang w:val="en-GB"/>
        </w:rPr>
        <w:t>”) and to accomplish the objectives of the Call.</w:t>
      </w:r>
    </w:p>
    <w:p w14:paraId="76A584E7" w14:textId="77777777" w:rsidR="00CA2E0D" w:rsidRPr="004A1E29" w:rsidRDefault="00CA2E0D" w:rsidP="00CA2E0D">
      <w:pPr>
        <w:pStyle w:val="Akapitzlist"/>
        <w:numPr>
          <w:ilvl w:val="1"/>
          <w:numId w:val="2"/>
        </w:numPr>
        <w:suppressAutoHyphens/>
        <w:autoSpaceDN w:val="0"/>
        <w:spacing w:after="120" w:line="240" w:lineRule="auto"/>
        <w:contextualSpacing w:val="0"/>
        <w:jc w:val="both"/>
        <w:textAlignment w:val="baseline"/>
        <w:rPr>
          <w:rFonts w:cstheme="minorHAnsi"/>
          <w:lang w:val="en-GB"/>
        </w:rPr>
      </w:pPr>
      <w:r w:rsidRPr="004A1E29">
        <w:rPr>
          <w:rFonts w:cstheme="minorHAnsi"/>
          <w:highlight w:val="lightGray"/>
          <w:lang w:val="en-GB"/>
        </w:rPr>
        <w:t>The Tenderer is registered and operates in a Member State of the European Union or the European Free Trade Association (EFTA) or in a member country of the European Economic Area (registered in […], operates in [….</w:t>
      </w:r>
      <w:r w:rsidRPr="004A1E29">
        <w:rPr>
          <w:rFonts w:cstheme="minorHAnsi"/>
          <w:lang w:val="en-GB"/>
        </w:rPr>
        <w:t>].</w:t>
      </w:r>
      <w:r w:rsidRPr="004A1E29">
        <w:rPr>
          <w:rStyle w:val="Odwoanieprzypisudolnego"/>
          <w:rFonts w:cstheme="minorHAnsi"/>
          <w:lang w:val="en-GB"/>
        </w:rPr>
        <w:footnoteReference w:id="8"/>
      </w:r>
    </w:p>
    <w:p w14:paraId="46E87E1D" w14:textId="77777777" w:rsidR="00CA2E0D" w:rsidRPr="004A1E29" w:rsidRDefault="00CA2E0D" w:rsidP="00CA2E0D">
      <w:pPr>
        <w:pStyle w:val="Akapitzlist"/>
        <w:numPr>
          <w:ilvl w:val="1"/>
          <w:numId w:val="2"/>
        </w:numPr>
        <w:suppressAutoHyphens/>
        <w:autoSpaceDN w:val="0"/>
        <w:spacing w:after="120" w:line="240" w:lineRule="auto"/>
        <w:contextualSpacing w:val="0"/>
        <w:jc w:val="both"/>
        <w:textAlignment w:val="baseline"/>
        <w:rPr>
          <w:rFonts w:cstheme="minorHAnsi"/>
          <w:lang w:val="en-GB"/>
        </w:rPr>
      </w:pPr>
      <w:r w:rsidRPr="004A1E29">
        <w:rPr>
          <w:rStyle w:val="Odwoanieprzypisudolnego"/>
          <w:rFonts w:cstheme="minorHAnsi"/>
          <w:i/>
          <w:iCs/>
          <w:lang w:val="en-GB"/>
        </w:rPr>
        <w:footnoteReference w:id="9"/>
      </w:r>
      <w:r w:rsidRPr="004A1E29">
        <w:rPr>
          <w:rFonts w:cstheme="minorHAnsi"/>
          <w:highlight w:val="lightGray"/>
          <w:lang w:val="en-GB"/>
        </w:rPr>
        <w:t xml:space="preserve">A) The submission of the Tender does not require the Tenderer to obtain any consent, approval, notification or registration by any public administration, local </w:t>
      </w:r>
      <w:proofErr w:type="gramStart"/>
      <w:r w:rsidRPr="004A1E29">
        <w:rPr>
          <w:rFonts w:cstheme="minorHAnsi"/>
          <w:highlight w:val="lightGray"/>
          <w:lang w:val="en-GB"/>
        </w:rPr>
        <w:t>government</w:t>
      </w:r>
      <w:proofErr w:type="gramEnd"/>
      <w:r w:rsidRPr="004A1E29">
        <w:rPr>
          <w:rFonts w:cstheme="minorHAnsi"/>
          <w:highlight w:val="lightGray"/>
          <w:lang w:val="en-GB"/>
        </w:rPr>
        <w:t xml:space="preserve"> or any other body and/or any third party (including also under any contract or agreement).</w:t>
      </w:r>
    </w:p>
    <w:p w14:paraId="603B0376" w14:textId="77777777" w:rsidR="00CA2E0D" w:rsidRPr="004A1E29" w:rsidRDefault="00CA2E0D" w:rsidP="00CA2E0D">
      <w:pPr>
        <w:pStyle w:val="Akapitzlist"/>
        <w:spacing w:after="120" w:line="240" w:lineRule="auto"/>
        <w:contextualSpacing w:val="0"/>
        <w:jc w:val="both"/>
        <w:rPr>
          <w:rFonts w:cstheme="minorHAnsi"/>
          <w:lang w:val="en-GB"/>
        </w:rPr>
      </w:pPr>
      <w:r w:rsidRPr="004A1E29">
        <w:rPr>
          <w:rFonts w:cstheme="minorHAnsi"/>
          <w:highlight w:val="lightGray"/>
          <w:lang w:val="en-GB"/>
        </w:rPr>
        <w:t xml:space="preserve">B) Except as specified below, no consent, approval, notification or registration by any public administration, local </w:t>
      </w:r>
      <w:proofErr w:type="gramStart"/>
      <w:r w:rsidRPr="004A1E29">
        <w:rPr>
          <w:rFonts w:cstheme="minorHAnsi"/>
          <w:highlight w:val="lightGray"/>
          <w:lang w:val="en-GB"/>
        </w:rPr>
        <w:t>government</w:t>
      </w:r>
      <w:proofErr w:type="gramEnd"/>
      <w:r w:rsidRPr="004A1E29">
        <w:rPr>
          <w:rFonts w:cstheme="minorHAnsi"/>
          <w:highlight w:val="lightGray"/>
          <w:lang w:val="en-GB"/>
        </w:rPr>
        <w:t xml:space="preserve"> or any other body and/or any third party (including also under any contract or agreement) is required to be obtained by the Tenderer</w:t>
      </w:r>
      <w:r w:rsidRPr="004A1E29">
        <w:rPr>
          <w:rStyle w:val="Odwoanieprzypisudolnego"/>
          <w:rFonts w:cstheme="minorHAnsi"/>
          <w:lang w:val="en-GB"/>
        </w:rPr>
        <w:footnoteReference w:id="10"/>
      </w:r>
      <w:r w:rsidRPr="004A1E29">
        <w:rPr>
          <w:rFonts w:cstheme="minorHAnsi"/>
          <w:lang w:val="en-GB"/>
        </w:rPr>
        <w:t>:</w:t>
      </w:r>
    </w:p>
    <w:p w14:paraId="5300B968" w14:textId="77777777" w:rsidR="00CA2E0D" w:rsidRPr="00D51CD3" w:rsidRDefault="00CA2E0D" w:rsidP="00D51CD3">
      <w:pPr>
        <w:spacing w:after="120" w:line="240" w:lineRule="auto"/>
        <w:rPr>
          <w:lang w:val="en-US"/>
        </w:rPr>
      </w:pPr>
    </w:p>
    <w:p w14:paraId="5DD5A811" w14:textId="77777777" w:rsidR="00CA2E0D" w:rsidRPr="004A1E29" w:rsidRDefault="00CA2E0D" w:rsidP="00CA2E0D">
      <w:pPr>
        <w:pStyle w:val="Akapitzlist"/>
        <w:numPr>
          <w:ilvl w:val="1"/>
          <w:numId w:val="2"/>
        </w:numPr>
        <w:suppressAutoHyphens/>
        <w:autoSpaceDN w:val="0"/>
        <w:spacing w:after="120" w:line="240" w:lineRule="auto"/>
        <w:contextualSpacing w:val="0"/>
        <w:jc w:val="both"/>
        <w:textAlignment w:val="baseline"/>
        <w:rPr>
          <w:rFonts w:cstheme="minorHAnsi"/>
          <w:lang w:val="en-GB"/>
        </w:rPr>
      </w:pPr>
      <w:r w:rsidRPr="004A1E29">
        <w:rPr>
          <w:rFonts w:cstheme="minorHAnsi"/>
          <w:highlight w:val="lightGray"/>
          <w:lang w:val="en-GB"/>
        </w:rPr>
        <w:lastRenderedPageBreak/>
        <w:t xml:space="preserve">No public collective insolvency proceedings have been initiated against the Tenderer, nor are there any grounds for initiating such proceedings for the purpose of rescue, adjustment of debt, </w:t>
      </w:r>
      <w:proofErr w:type="gramStart"/>
      <w:r w:rsidRPr="004A1E29">
        <w:rPr>
          <w:rFonts w:cstheme="minorHAnsi"/>
          <w:highlight w:val="lightGray"/>
          <w:lang w:val="en-GB"/>
        </w:rPr>
        <w:t>reorganisation</w:t>
      </w:r>
      <w:proofErr w:type="gramEnd"/>
      <w:r w:rsidRPr="004A1E29">
        <w:rPr>
          <w:rFonts w:cstheme="minorHAnsi"/>
          <w:highlight w:val="lightGray"/>
          <w:lang w:val="en-GB"/>
        </w:rPr>
        <w:t xml:space="preserve"> or liquidation within the meaning of Article 1 (1) (without the last sentence) of Regulation (EU) 2015/848</w:t>
      </w:r>
      <w:r w:rsidRPr="004A1E29">
        <w:rPr>
          <w:rStyle w:val="Odwoanieprzypisudolnego"/>
          <w:rFonts w:cstheme="minorHAnsi"/>
          <w:lang w:val="en-GB"/>
        </w:rPr>
        <w:footnoteReference w:id="11"/>
      </w:r>
      <w:r w:rsidRPr="004A1E29">
        <w:rPr>
          <w:rFonts w:cstheme="minorHAnsi"/>
          <w:lang w:val="en-GB"/>
        </w:rPr>
        <w:t>.</w:t>
      </w:r>
    </w:p>
    <w:p w14:paraId="689D737B" w14:textId="77777777" w:rsidR="00CA2E0D" w:rsidRPr="004A1E29" w:rsidRDefault="00CA2E0D" w:rsidP="00CA2E0D">
      <w:pPr>
        <w:pStyle w:val="Akapitzlist"/>
        <w:numPr>
          <w:ilvl w:val="1"/>
          <w:numId w:val="2"/>
        </w:numPr>
        <w:suppressAutoHyphens/>
        <w:autoSpaceDN w:val="0"/>
        <w:spacing w:after="120" w:line="240" w:lineRule="auto"/>
        <w:contextualSpacing w:val="0"/>
        <w:jc w:val="both"/>
        <w:textAlignment w:val="baseline"/>
        <w:rPr>
          <w:rFonts w:cstheme="minorHAnsi"/>
          <w:lang w:val="en-GB"/>
        </w:rPr>
      </w:pPr>
      <w:r w:rsidRPr="004A1E29">
        <w:rPr>
          <w:rFonts w:cstheme="minorHAnsi"/>
          <w:lang w:val="en-GB"/>
        </w:rPr>
        <w:t>No criminal proceedings are pending against the Tenderer in connection with the commitment of any business-related offence, nor has the Tenderer been convicted for any such offences.</w:t>
      </w:r>
    </w:p>
    <w:p w14:paraId="7B6437AE" w14:textId="77777777" w:rsidR="00CA2E0D" w:rsidRPr="004A1E29" w:rsidRDefault="00CA2E0D" w:rsidP="00CA2E0D">
      <w:pPr>
        <w:pStyle w:val="Akapitzlist"/>
        <w:numPr>
          <w:ilvl w:val="1"/>
          <w:numId w:val="2"/>
        </w:numPr>
        <w:suppressAutoHyphens/>
        <w:autoSpaceDN w:val="0"/>
        <w:spacing w:after="120" w:line="240" w:lineRule="auto"/>
        <w:contextualSpacing w:val="0"/>
        <w:jc w:val="both"/>
        <w:textAlignment w:val="baseline"/>
        <w:rPr>
          <w:rFonts w:cstheme="minorHAnsi"/>
          <w:lang w:val="en-GB"/>
        </w:rPr>
      </w:pPr>
      <w:r w:rsidRPr="004A1E29">
        <w:rPr>
          <w:lang w:val="en-GB"/>
        </w:rPr>
        <w:t>No criminal proceedings are pending against any members of the Tenderer’s managing and/or supervisory bodies in connection with the commitment of any business-related offence, nor have members of the managing and/or supervisory bodies been convicted for any such offences</w:t>
      </w:r>
      <w:r w:rsidRPr="004A1E29">
        <w:rPr>
          <w:rStyle w:val="Odwoanieprzypisudolnego"/>
          <w:rFonts w:cstheme="minorHAnsi"/>
          <w:lang w:val="en-GB"/>
        </w:rPr>
        <w:footnoteReference w:id="12"/>
      </w:r>
      <w:r w:rsidRPr="004A1E29">
        <w:rPr>
          <w:rFonts w:cstheme="minorHAnsi"/>
          <w:lang w:val="en-GB"/>
        </w:rPr>
        <w:t>.</w:t>
      </w:r>
    </w:p>
    <w:p w14:paraId="4EB91408" w14:textId="77777777" w:rsidR="00CA2E0D" w:rsidRPr="004A1E29" w:rsidRDefault="00CA2E0D" w:rsidP="00CA2E0D">
      <w:pPr>
        <w:pStyle w:val="Akapitzlist"/>
        <w:numPr>
          <w:ilvl w:val="1"/>
          <w:numId w:val="2"/>
        </w:numPr>
        <w:suppressAutoHyphens/>
        <w:autoSpaceDN w:val="0"/>
        <w:spacing w:after="120" w:line="240" w:lineRule="auto"/>
        <w:contextualSpacing w:val="0"/>
        <w:jc w:val="both"/>
        <w:textAlignment w:val="baseline"/>
        <w:rPr>
          <w:rFonts w:cstheme="minorHAnsi"/>
          <w:lang w:val="en-GB"/>
        </w:rPr>
      </w:pPr>
      <w:r w:rsidRPr="004A1E29">
        <w:rPr>
          <w:rFonts w:cstheme="minorHAnsi"/>
          <w:lang w:val="en-GB"/>
        </w:rPr>
        <w:t>The Tenderer is not/will not be subject</w:t>
      </w:r>
      <w:r w:rsidRPr="004A1E29">
        <w:rPr>
          <w:rStyle w:val="Odwoanieprzypisudolnego"/>
          <w:rFonts w:cstheme="minorHAnsi"/>
          <w:lang w:val="en-GB"/>
        </w:rPr>
        <w:footnoteReference w:id="13"/>
      </w:r>
      <w:r w:rsidRPr="004A1E29">
        <w:rPr>
          <w:lang w:val="en-GB"/>
        </w:rPr>
        <w:t xml:space="preserve"> to exclusion from access to funding referred to in Article 207 of the Act of 27 August 2009 on public finance.</w:t>
      </w:r>
    </w:p>
    <w:p w14:paraId="2D4260A2" w14:textId="77777777" w:rsidR="00CA2E0D" w:rsidRPr="004A1E29" w:rsidRDefault="00CA2E0D" w:rsidP="00CA2E0D">
      <w:pPr>
        <w:pStyle w:val="Akapitzlist"/>
        <w:numPr>
          <w:ilvl w:val="1"/>
          <w:numId w:val="2"/>
        </w:numPr>
        <w:suppressAutoHyphens/>
        <w:autoSpaceDN w:val="0"/>
        <w:spacing w:after="120" w:line="240" w:lineRule="auto"/>
        <w:contextualSpacing w:val="0"/>
        <w:jc w:val="both"/>
        <w:textAlignment w:val="baseline"/>
        <w:rPr>
          <w:rFonts w:cstheme="minorHAnsi"/>
          <w:lang w:val="en-GB"/>
        </w:rPr>
      </w:pPr>
      <w:r w:rsidRPr="004A1E29">
        <w:rPr>
          <w:rFonts w:cstheme="minorHAnsi"/>
          <w:lang w:val="en-GB"/>
        </w:rPr>
        <w:t xml:space="preserve">The Tenderer has no overdue social security contributions, health insurance premiums, </w:t>
      </w:r>
      <w:proofErr w:type="gramStart"/>
      <w:r w:rsidRPr="004A1E29">
        <w:rPr>
          <w:rFonts w:cstheme="minorHAnsi"/>
          <w:lang w:val="en-GB"/>
        </w:rPr>
        <w:t>taxes</w:t>
      </w:r>
      <w:proofErr w:type="gramEnd"/>
      <w:r w:rsidRPr="004A1E29">
        <w:rPr>
          <w:rFonts w:cstheme="minorHAnsi"/>
          <w:lang w:val="en-GB"/>
        </w:rPr>
        <w:t xml:space="preserve"> or other levies under public law. </w:t>
      </w:r>
    </w:p>
    <w:p w14:paraId="6681E5A4" w14:textId="77777777" w:rsidR="00CA2E0D" w:rsidRPr="004A1E29" w:rsidRDefault="00CA2E0D" w:rsidP="00CA2E0D">
      <w:pPr>
        <w:pStyle w:val="Akapitzlist"/>
        <w:numPr>
          <w:ilvl w:val="0"/>
          <w:numId w:val="2"/>
        </w:numPr>
        <w:suppressAutoHyphens/>
        <w:autoSpaceDN w:val="0"/>
        <w:spacing w:after="120" w:line="240" w:lineRule="auto"/>
        <w:ind w:left="709"/>
        <w:contextualSpacing w:val="0"/>
        <w:jc w:val="both"/>
        <w:textAlignment w:val="baseline"/>
        <w:rPr>
          <w:rFonts w:cstheme="minorHAnsi"/>
          <w:b/>
          <w:u w:val="single"/>
          <w:lang w:val="en-GB"/>
        </w:rPr>
      </w:pPr>
      <w:r w:rsidRPr="004A1E29">
        <w:rPr>
          <w:rFonts w:cstheme="minorHAnsi"/>
          <w:b/>
          <w:bCs/>
          <w:u w:val="single"/>
          <w:lang w:val="en-GB"/>
        </w:rPr>
        <w:t>Information provided in the Tender</w:t>
      </w:r>
    </w:p>
    <w:p w14:paraId="2053A6A9" w14:textId="77777777" w:rsidR="00CA2E0D" w:rsidRPr="004A1E29" w:rsidRDefault="00CA2E0D" w:rsidP="00CA2E0D">
      <w:pPr>
        <w:pStyle w:val="Akapitzlist"/>
        <w:numPr>
          <w:ilvl w:val="1"/>
          <w:numId w:val="2"/>
        </w:numPr>
        <w:suppressAutoHyphens/>
        <w:autoSpaceDN w:val="0"/>
        <w:spacing w:after="120" w:line="240" w:lineRule="auto"/>
        <w:contextualSpacing w:val="0"/>
        <w:jc w:val="both"/>
        <w:textAlignment w:val="baseline"/>
        <w:rPr>
          <w:rFonts w:cstheme="minorHAnsi"/>
          <w:lang w:val="en-GB"/>
        </w:rPr>
      </w:pPr>
      <w:r w:rsidRPr="004A1E29">
        <w:rPr>
          <w:rFonts w:cstheme="minorHAnsi"/>
          <w:lang w:val="en-GB"/>
        </w:rPr>
        <w:t>The Tenderer has read the Rules and accepts them without any reservation.</w:t>
      </w:r>
    </w:p>
    <w:p w14:paraId="442D7251" w14:textId="77777777" w:rsidR="00CA2E0D" w:rsidRPr="004A1E29" w:rsidRDefault="00CA2E0D" w:rsidP="00CA2E0D">
      <w:pPr>
        <w:pStyle w:val="Akapitzlist"/>
        <w:numPr>
          <w:ilvl w:val="1"/>
          <w:numId w:val="2"/>
        </w:numPr>
        <w:suppressAutoHyphens/>
        <w:autoSpaceDN w:val="0"/>
        <w:spacing w:after="120" w:line="240" w:lineRule="auto"/>
        <w:contextualSpacing w:val="0"/>
        <w:jc w:val="both"/>
        <w:textAlignment w:val="baseline"/>
        <w:rPr>
          <w:rFonts w:cstheme="minorHAnsi"/>
          <w:lang w:val="en-GB"/>
        </w:rPr>
      </w:pPr>
      <w:bookmarkStart w:id="0" w:name="_Hlk499221168"/>
      <w:r w:rsidRPr="004A1E29">
        <w:rPr>
          <w:rFonts w:cstheme="minorHAnsi"/>
          <w:lang w:val="en-GB"/>
        </w:rPr>
        <w:t xml:space="preserve">Information, including statements and representations, contained in the Tender, are true and accurate, and present a full, </w:t>
      </w:r>
      <w:proofErr w:type="gramStart"/>
      <w:r w:rsidRPr="004A1E29">
        <w:rPr>
          <w:rFonts w:cstheme="minorHAnsi"/>
          <w:lang w:val="en-GB"/>
        </w:rPr>
        <w:t>fair</w:t>
      </w:r>
      <w:proofErr w:type="gramEnd"/>
      <w:r w:rsidRPr="004A1E29">
        <w:rPr>
          <w:rFonts w:cstheme="minorHAnsi"/>
          <w:lang w:val="en-GB"/>
        </w:rPr>
        <w:t xml:space="preserve"> and true view of the Financial Intermediary’s and/ or Managing Entity’s and/or Key Personnel's legal and financial situation</w:t>
      </w:r>
      <w:bookmarkEnd w:id="0"/>
      <w:r w:rsidRPr="004A1E29">
        <w:rPr>
          <w:rFonts w:cstheme="minorHAnsi"/>
          <w:lang w:val="en-GB"/>
        </w:rPr>
        <w:t>.</w:t>
      </w:r>
    </w:p>
    <w:p w14:paraId="1E876DDC" w14:textId="77777777" w:rsidR="00CA2E0D" w:rsidRPr="004A1E29" w:rsidRDefault="00CA2E0D" w:rsidP="00CA2E0D">
      <w:pPr>
        <w:pStyle w:val="Akapitzlist"/>
        <w:numPr>
          <w:ilvl w:val="1"/>
          <w:numId w:val="2"/>
        </w:numPr>
        <w:suppressAutoHyphens/>
        <w:autoSpaceDN w:val="0"/>
        <w:spacing w:after="120" w:line="240" w:lineRule="auto"/>
        <w:contextualSpacing w:val="0"/>
        <w:jc w:val="both"/>
        <w:textAlignment w:val="baseline"/>
        <w:rPr>
          <w:rFonts w:cstheme="minorHAnsi"/>
          <w:lang w:val="en-GB"/>
        </w:rPr>
      </w:pPr>
      <w:r w:rsidRPr="004A1E29">
        <w:rPr>
          <w:rFonts w:cstheme="minorHAnsi"/>
          <w:lang w:val="en-GB"/>
        </w:rPr>
        <w:t xml:space="preserve">The Tender </w:t>
      </w:r>
      <w:r w:rsidRPr="004A1E29">
        <w:rPr>
          <w:rFonts w:cstheme="minorHAnsi"/>
          <w:highlight w:val="lightGray"/>
          <w:lang w:val="en-GB"/>
        </w:rPr>
        <w:t>meets/will meet</w:t>
      </w:r>
      <w:r w:rsidRPr="004A1E29">
        <w:rPr>
          <w:rStyle w:val="Odwoanieprzypisudolnego"/>
          <w:rFonts w:cstheme="minorHAnsi"/>
          <w:lang w:val="en-GB"/>
        </w:rPr>
        <w:footnoteReference w:id="14"/>
      </w:r>
      <w:r w:rsidRPr="004A1E29">
        <w:rPr>
          <w:rFonts w:cstheme="minorHAnsi"/>
          <w:lang w:val="en-GB"/>
        </w:rPr>
        <w:t xml:space="preserve"> the requirements set out in Regulation No 651/2014, </w:t>
      </w:r>
      <w:proofErr w:type="gramStart"/>
      <w:r w:rsidRPr="004A1E29">
        <w:rPr>
          <w:rFonts w:cstheme="minorHAnsi"/>
          <w:lang w:val="en-GB"/>
        </w:rPr>
        <w:t>in particular Article</w:t>
      </w:r>
      <w:proofErr w:type="gramEnd"/>
      <w:r w:rsidRPr="004A1E29">
        <w:rPr>
          <w:rFonts w:cstheme="minorHAnsi"/>
          <w:lang w:val="en-GB"/>
        </w:rPr>
        <w:t xml:space="preserve"> 21 (13) and (14) of the Regulation No 651/2014, Regulation No 480/2014, in particular Article 7 (1) and (2) of Regulation No 480/2014, and the Risk Finance Regulation.</w:t>
      </w:r>
    </w:p>
    <w:p w14:paraId="4C8E61FE" w14:textId="77777777" w:rsidR="00CA2E0D" w:rsidRPr="004A1E29" w:rsidRDefault="00CA2E0D" w:rsidP="00CA2E0D">
      <w:pPr>
        <w:pStyle w:val="Akapitzlist"/>
        <w:numPr>
          <w:ilvl w:val="0"/>
          <w:numId w:val="2"/>
        </w:numPr>
        <w:suppressAutoHyphens/>
        <w:autoSpaceDN w:val="0"/>
        <w:spacing w:after="120" w:line="240" w:lineRule="auto"/>
        <w:ind w:left="709"/>
        <w:contextualSpacing w:val="0"/>
        <w:jc w:val="both"/>
        <w:textAlignment w:val="baseline"/>
        <w:rPr>
          <w:rFonts w:cstheme="minorHAnsi"/>
          <w:b/>
          <w:u w:val="single"/>
          <w:lang w:val="en-GB"/>
        </w:rPr>
      </w:pPr>
      <w:r w:rsidRPr="004A1E29">
        <w:rPr>
          <w:rFonts w:cstheme="minorHAnsi"/>
          <w:b/>
          <w:bCs/>
          <w:u w:val="single"/>
          <w:lang w:val="en-GB"/>
        </w:rPr>
        <w:t>Object of business and investment policy of the Financial Intermediary</w:t>
      </w:r>
    </w:p>
    <w:p w14:paraId="0D523BA5" w14:textId="77777777" w:rsidR="00CA2E0D" w:rsidRPr="00D51CD3" w:rsidRDefault="00CA2E0D" w:rsidP="00D51CD3">
      <w:pPr>
        <w:pStyle w:val="Akapitzlist"/>
        <w:numPr>
          <w:ilvl w:val="1"/>
          <w:numId w:val="2"/>
        </w:numPr>
        <w:suppressAutoHyphens/>
        <w:autoSpaceDN w:val="0"/>
        <w:spacing w:after="120" w:line="240" w:lineRule="auto"/>
        <w:contextualSpacing w:val="0"/>
        <w:jc w:val="both"/>
        <w:textAlignment w:val="baseline"/>
        <w:rPr>
          <w:rFonts w:cstheme="minorHAnsi"/>
          <w:lang w:val="en-GB"/>
        </w:rPr>
      </w:pPr>
      <w:r w:rsidRPr="004A1E29">
        <w:rPr>
          <w:rFonts w:cstheme="minorHAnsi"/>
          <w:lang w:val="en-GB"/>
        </w:rPr>
        <w:t xml:space="preserve">The principal object of business of the Financial Intermediary </w:t>
      </w:r>
      <w:r w:rsidRPr="004A1E29">
        <w:rPr>
          <w:rFonts w:cstheme="minorHAnsi"/>
          <w:highlight w:val="lightGray"/>
          <w:lang w:val="en-GB"/>
        </w:rPr>
        <w:t>is/will be</w:t>
      </w:r>
      <w:r w:rsidRPr="004A1E29">
        <w:rPr>
          <w:rStyle w:val="Odwoanieprzypisudolnego"/>
          <w:rFonts w:cstheme="minorHAnsi"/>
          <w:lang w:val="en-GB"/>
        </w:rPr>
        <w:footnoteReference w:id="15"/>
      </w:r>
      <w:r w:rsidRPr="004A1E29">
        <w:rPr>
          <w:rFonts w:cstheme="minorHAnsi"/>
          <w:lang w:val="en-GB"/>
        </w:rPr>
        <w:t xml:space="preserve"> to make Investments in Eligible Undertakings, and the Tenderer has familiarised itself with the terms of investing set out in Article 21 of Regulation No 651/2014 and in the Rules.</w:t>
      </w:r>
    </w:p>
    <w:p w14:paraId="26C6F1C6" w14:textId="77777777" w:rsidR="00CA2E0D" w:rsidRPr="004A1E29" w:rsidRDefault="00CA2E0D" w:rsidP="00CA2E0D">
      <w:pPr>
        <w:pStyle w:val="Akapitzlist"/>
        <w:numPr>
          <w:ilvl w:val="1"/>
          <w:numId w:val="2"/>
        </w:numPr>
        <w:suppressAutoHyphens/>
        <w:autoSpaceDN w:val="0"/>
        <w:spacing w:after="120" w:line="240" w:lineRule="auto"/>
        <w:contextualSpacing w:val="0"/>
        <w:jc w:val="both"/>
        <w:textAlignment w:val="baseline"/>
        <w:rPr>
          <w:rFonts w:cstheme="minorHAnsi"/>
          <w:lang w:val="en-GB"/>
        </w:rPr>
      </w:pPr>
      <w:r w:rsidRPr="00CA2E0D">
        <w:rPr>
          <w:rFonts w:cstheme="minorHAnsi"/>
          <w:lang w:val="en-US"/>
        </w:rPr>
        <w:t xml:space="preserve"> </w:t>
      </w:r>
      <w:r w:rsidRPr="00CA2E0D">
        <w:rPr>
          <w:rFonts w:cstheme="minorHAnsi"/>
          <w:lang w:val="en-GB"/>
        </w:rPr>
        <w:t xml:space="preserve">The Investment Policy provides for Investments in Eligible Undertakings that, at the time proceeds of a Financial Intermediary’s Investment are paid to them, have their registered office in the Republic of Poland or within the territory of the European Union, the European Free Trade Association (EFTA), or in a member country of the European Economic Area, and pursue an economic activity in the Republic of Poland as confirmed by the entry in the relevant register (e.g. in the form of a branch in accordance with the Act of 2 July 2004 on freedom of economic activity (Journal of Laws of 2016, item 1829) in the form of a Company </w:t>
      </w:r>
      <w:r w:rsidRPr="004A1E29">
        <w:rPr>
          <w:rFonts w:cstheme="minorHAnsi"/>
          <w:lang w:val="en-GB"/>
        </w:rPr>
        <w:t>or a Partnership Limited by Shares (and in the case of Eligible Undertakings established outside the territory of the Republic of Poland such Eligible Undertaking should be operating its business in the form of a company (within the meaning of Article 2 (1) of Council Directive 2008/7/EC of 12 February 2008 concerning indirect taxes on the raising of capital) or in a legal form similar to the legal structure of a Partnership Limited by Shares.</w:t>
      </w:r>
    </w:p>
    <w:p w14:paraId="393601B0" w14:textId="77777777" w:rsidR="00CA2E0D" w:rsidRPr="004A1E29" w:rsidRDefault="00CA2E0D" w:rsidP="00CA2E0D">
      <w:pPr>
        <w:pStyle w:val="Akapitzlist"/>
        <w:numPr>
          <w:ilvl w:val="1"/>
          <w:numId w:val="2"/>
        </w:numPr>
        <w:suppressAutoHyphens/>
        <w:autoSpaceDN w:val="0"/>
        <w:spacing w:after="120" w:line="240" w:lineRule="auto"/>
        <w:contextualSpacing w:val="0"/>
        <w:jc w:val="both"/>
        <w:textAlignment w:val="baseline"/>
        <w:rPr>
          <w:rFonts w:cstheme="minorHAnsi"/>
          <w:lang w:val="en-GB"/>
        </w:rPr>
      </w:pPr>
      <w:r w:rsidRPr="004A1E29">
        <w:rPr>
          <w:rFonts w:cstheme="minorHAnsi"/>
          <w:lang w:val="en-GB"/>
        </w:rPr>
        <w:lastRenderedPageBreak/>
        <w:t xml:space="preserve">The planned activity of the Financial Intermediary </w:t>
      </w:r>
      <w:r w:rsidRPr="004A1E29">
        <w:rPr>
          <w:rFonts w:cstheme="minorHAnsi"/>
          <w:highlight w:val="lightGray"/>
          <w:lang w:val="en-GB"/>
        </w:rPr>
        <w:t>does not/will not include</w:t>
      </w:r>
      <w:r w:rsidRPr="004A1E29">
        <w:rPr>
          <w:rStyle w:val="Odwoanieprzypisudolnego"/>
          <w:rFonts w:cstheme="minorHAnsi"/>
          <w:lang w:val="en-GB"/>
        </w:rPr>
        <w:footnoteReference w:id="16"/>
      </w:r>
      <w:r w:rsidRPr="004A1E29">
        <w:rPr>
          <w:rFonts w:cstheme="minorHAnsi"/>
          <w:lang w:val="en-GB"/>
        </w:rPr>
        <w:t xml:space="preserve"> any types of activities specified in Section 11 of the Term Sheet: Appendix 7 to the Rules. </w:t>
      </w:r>
    </w:p>
    <w:p w14:paraId="67EB7EB9" w14:textId="77777777" w:rsidR="00CA2E0D" w:rsidRPr="004A1E29" w:rsidRDefault="00CA2E0D" w:rsidP="00CA2E0D">
      <w:pPr>
        <w:pStyle w:val="Akapitzlist"/>
        <w:numPr>
          <w:ilvl w:val="1"/>
          <w:numId w:val="2"/>
        </w:numPr>
        <w:suppressAutoHyphens/>
        <w:autoSpaceDN w:val="0"/>
        <w:spacing w:after="120" w:line="240" w:lineRule="auto"/>
        <w:contextualSpacing w:val="0"/>
        <w:jc w:val="both"/>
        <w:textAlignment w:val="baseline"/>
        <w:rPr>
          <w:rFonts w:cstheme="minorHAnsi"/>
          <w:lang w:val="en-GB"/>
        </w:rPr>
      </w:pPr>
      <w:r w:rsidRPr="004A1E29">
        <w:rPr>
          <w:rFonts w:cstheme="minorHAnsi"/>
          <w:lang w:val="en-GB"/>
        </w:rPr>
        <w:t xml:space="preserve">The Financial Intermediary </w:t>
      </w:r>
      <w:r w:rsidRPr="004A1E29">
        <w:rPr>
          <w:rFonts w:cstheme="minorHAnsi"/>
          <w:highlight w:val="lightGray"/>
          <w:lang w:val="en-GB"/>
        </w:rPr>
        <w:t>complies with/will comply with</w:t>
      </w:r>
      <w:r w:rsidRPr="004A1E29">
        <w:rPr>
          <w:rStyle w:val="Odwoanieprzypisudolnego"/>
          <w:rFonts w:cstheme="minorHAnsi"/>
          <w:lang w:val="en-GB"/>
        </w:rPr>
        <w:footnoteReference w:id="17"/>
      </w:r>
      <w:r w:rsidRPr="004A1E29">
        <w:rPr>
          <w:rFonts w:cstheme="minorHAnsi"/>
          <w:lang w:val="en-GB"/>
        </w:rPr>
        <w:t xml:space="preserve"> the provisions of the Act of 16 November 2000 on the prevention of money laundering and terrorist financing (Journal of Laws of 2016, item 299, as amended).</w:t>
      </w:r>
    </w:p>
    <w:p w14:paraId="50696B7A" w14:textId="77777777" w:rsidR="00CA2E0D" w:rsidRPr="004A1E29" w:rsidRDefault="00CA2E0D" w:rsidP="00CA2E0D">
      <w:pPr>
        <w:pStyle w:val="Akapitzlist"/>
        <w:numPr>
          <w:ilvl w:val="1"/>
          <w:numId w:val="2"/>
        </w:numPr>
        <w:suppressAutoHyphens/>
        <w:autoSpaceDN w:val="0"/>
        <w:spacing w:after="120" w:line="240" w:lineRule="auto"/>
        <w:contextualSpacing w:val="0"/>
        <w:jc w:val="both"/>
        <w:textAlignment w:val="baseline"/>
        <w:rPr>
          <w:rFonts w:cstheme="minorHAnsi"/>
          <w:lang w:val="en-GB"/>
        </w:rPr>
      </w:pPr>
      <w:r w:rsidRPr="004A1E29">
        <w:rPr>
          <w:rFonts w:cstheme="minorHAnsi"/>
          <w:lang w:val="en-GB"/>
        </w:rPr>
        <w:t>The Financial Intermediary does not and will not maintain business relationships with entities incorporated in territories whose jurisdictions do not cooperate with the European Union in the application of tax standards agreed upon at the international level.</w:t>
      </w:r>
    </w:p>
    <w:p w14:paraId="774D1337" w14:textId="77777777" w:rsidR="00CA2E0D" w:rsidRPr="004A1E29" w:rsidRDefault="00CA2E0D" w:rsidP="00CA2E0D">
      <w:pPr>
        <w:pStyle w:val="Akapitzlist"/>
        <w:numPr>
          <w:ilvl w:val="1"/>
          <w:numId w:val="2"/>
        </w:numPr>
        <w:suppressAutoHyphens/>
        <w:autoSpaceDN w:val="0"/>
        <w:spacing w:after="120" w:line="240" w:lineRule="auto"/>
        <w:contextualSpacing w:val="0"/>
        <w:jc w:val="both"/>
        <w:textAlignment w:val="baseline"/>
        <w:rPr>
          <w:rFonts w:cstheme="minorHAnsi"/>
          <w:lang w:val="en-GB"/>
        </w:rPr>
      </w:pPr>
      <w:r w:rsidRPr="004A1E29">
        <w:rPr>
          <w:rFonts w:cstheme="minorHAnsi"/>
          <w:lang w:val="en-GB"/>
        </w:rPr>
        <w:t xml:space="preserve">The Financial Intermediary </w:t>
      </w:r>
      <w:r w:rsidRPr="004A1E29">
        <w:rPr>
          <w:rFonts w:cstheme="minorHAnsi"/>
          <w:highlight w:val="lightGray"/>
          <w:lang w:val="en-GB"/>
        </w:rPr>
        <w:t>complies/will comply</w:t>
      </w:r>
      <w:r w:rsidRPr="004A1E29">
        <w:rPr>
          <w:rStyle w:val="Odwoanieprzypisudolnego"/>
          <w:rFonts w:cstheme="minorHAnsi"/>
          <w:highlight w:val="lightGray"/>
          <w:lang w:val="en-GB"/>
        </w:rPr>
        <w:footnoteReference w:id="18"/>
      </w:r>
      <w:r w:rsidRPr="004A1E29">
        <w:rPr>
          <w:rFonts w:cstheme="minorHAnsi"/>
          <w:lang w:val="en-GB"/>
        </w:rPr>
        <w:t xml:space="preserve"> with the applicable provisions of the law, including the provisions concerning Structural Funds of the European Union and the provisions concerning state aid. </w:t>
      </w:r>
    </w:p>
    <w:p w14:paraId="62E71466" w14:textId="77777777" w:rsidR="00CA2E0D" w:rsidRPr="004A1E29" w:rsidRDefault="00CA2E0D" w:rsidP="00CA2E0D">
      <w:pPr>
        <w:pStyle w:val="Akapitzlist"/>
        <w:numPr>
          <w:ilvl w:val="0"/>
          <w:numId w:val="2"/>
        </w:numPr>
        <w:suppressAutoHyphens/>
        <w:autoSpaceDN w:val="0"/>
        <w:spacing w:after="120" w:line="240" w:lineRule="auto"/>
        <w:ind w:left="709"/>
        <w:contextualSpacing w:val="0"/>
        <w:jc w:val="both"/>
        <w:textAlignment w:val="baseline"/>
        <w:rPr>
          <w:rFonts w:cstheme="minorHAnsi"/>
          <w:b/>
          <w:u w:val="single"/>
          <w:lang w:val="en-GB"/>
        </w:rPr>
      </w:pPr>
      <w:r w:rsidRPr="004A1E29">
        <w:rPr>
          <w:rFonts w:cstheme="minorHAnsi"/>
          <w:b/>
          <w:bCs/>
          <w:u w:val="single"/>
          <w:lang w:val="en-GB"/>
        </w:rPr>
        <w:t>The Tenderer’s statements related to state aid</w:t>
      </w:r>
    </w:p>
    <w:p w14:paraId="56066ACA" w14:textId="77777777" w:rsidR="00CA2E0D" w:rsidRPr="004A1E29" w:rsidRDefault="00CA2E0D" w:rsidP="00CA2E0D">
      <w:pPr>
        <w:pStyle w:val="Akapitzlist"/>
        <w:numPr>
          <w:ilvl w:val="1"/>
          <w:numId w:val="2"/>
        </w:numPr>
        <w:suppressAutoHyphens/>
        <w:autoSpaceDN w:val="0"/>
        <w:spacing w:after="120" w:line="240" w:lineRule="auto"/>
        <w:contextualSpacing w:val="0"/>
        <w:jc w:val="both"/>
        <w:textAlignment w:val="baseline"/>
        <w:rPr>
          <w:rFonts w:cstheme="minorHAnsi"/>
          <w:bCs/>
          <w:lang w:val="en-GB"/>
        </w:rPr>
      </w:pPr>
      <w:r w:rsidRPr="004A1E29">
        <w:rPr>
          <w:rFonts w:cstheme="minorHAnsi"/>
          <w:lang w:val="en-GB"/>
        </w:rPr>
        <w:t xml:space="preserve">The Tenderer </w:t>
      </w:r>
      <w:r w:rsidRPr="004A1E29">
        <w:rPr>
          <w:rFonts w:cstheme="minorHAnsi"/>
          <w:highlight w:val="lightGray"/>
          <w:lang w:val="en-GB"/>
        </w:rPr>
        <w:t>has/has not received</w:t>
      </w:r>
      <w:r w:rsidRPr="004A1E29">
        <w:rPr>
          <w:rFonts w:cstheme="minorHAnsi"/>
          <w:lang w:val="en-GB"/>
        </w:rPr>
        <w:t xml:space="preserve"> (</w:t>
      </w:r>
      <w:r w:rsidRPr="004A1E29">
        <w:rPr>
          <w:rFonts w:cstheme="minorHAnsi"/>
          <w:i/>
          <w:iCs/>
          <w:lang w:val="en-GB"/>
        </w:rPr>
        <w:t>delete as appropriate</w:t>
      </w:r>
      <w:r w:rsidRPr="004A1E29">
        <w:rPr>
          <w:rFonts w:cstheme="minorHAnsi"/>
          <w:lang w:val="en-GB"/>
        </w:rPr>
        <w:t>)</w:t>
      </w:r>
      <w:r w:rsidRPr="004A1E29">
        <w:rPr>
          <w:rFonts w:cstheme="minorHAnsi"/>
          <w:b/>
          <w:bCs/>
          <w:lang w:val="en-GB"/>
        </w:rPr>
        <w:t xml:space="preserve"> </w:t>
      </w:r>
      <w:r w:rsidRPr="004A1E29">
        <w:rPr>
          <w:rFonts w:cstheme="minorHAnsi"/>
          <w:lang w:val="en-GB"/>
        </w:rPr>
        <w:t>state aid within the meaning of Article 107 TFEU or de minimis aid.</w:t>
      </w:r>
      <w:r w:rsidRPr="004A1E29">
        <w:rPr>
          <w:rFonts w:cstheme="minorHAnsi"/>
          <w:b/>
          <w:bCs/>
          <w:lang w:val="en-GB"/>
        </w:rPr>
        <w:t xml:space="preserve"> </w:t>
      </w:r>
    </w:p>
    <w:tbl>
      <w:tblPr>
        <w:tblW w:w="5472" w:type="pct"/>
        <w:tblInd w:w="-289" w:type="dxa"/>
        <w:tblLayout w:type="fixed"/>
        <w:tblCellMar>
          <w:left w:w="10" w:type="dxa"/>
          <w:right w:w="10" w:type="dxa"/>
        </w:tblCellMar>
        <w:tblLook w:val="0000" w:firstRow="0" w:lastRow="0" w:firstColumn="0" w:lastColumn="0" w:noHBand="0" w:noVBand="0"/>
      </w:tblPr>
      <w:tblGrid>
        <w:gridCol w:w="571"/>
        <w:gridCol w:w="1700"/>
        <w:gridCol w:w="1558"/>
        <w:gridCol w:w="993"/>
        <w:gridCol w:w="1983"/>
        <w:gridCol w:w="1135"/>
        <w:gridCol w:w="566"/>
        <w:gridCol w:w="1403"/>
        <w:gridCol w:w="8"/>
      </w:tblGrid>
      <w:tr w:rsidR="004F5693" w:rsidRPr="00755961" w14:paraId="7DA14248" w14:textId="77777777" w:rsidTr="004F5693">
        <w:tc>
          <w:tcPr>
            <w:tcW w:w="5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495" w:type="dxa"/>
              <w:tblLayout w:type="fixed"/>
              <w:tblCellMar>
                <w:left w:w="10" w:type="dxa"/>
                <w:right w:w="10" w:type="dxa"/>
              </w:tblCellMar>
              <w:tblLook w:val="0000" w:firstRow="0" w:lastRow="0" w:firstColumn="0" w:lastColumn="0" w:noHBand="0" w:noVBand="0"/>
            </w:tblPr>
            <w:tblGrid>
              <w:gridCol w:w="495"/>
            </w:tblGrid>
            <w:tr w:rsidR="00CA2E0D" w:rsidRPr="004A1E29" w14:paraId="3EFAE9FD" w14:textId="77777777" w:rsidTr="00CA2E0D">
              <w:trPr>
                <w:trHeight w:val="93"/>
              </w:trPr>
              <w:tc>
                <w:tcPr>
                  <w:tcW w:w="495"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4F3BAA23" w14:textId="77777777" w:rsidR="00CA2E0D" w:rsidRPr="004A1E29" w:rsidRDefault="00CA2E0D" w:rsidP="00CA2E0D">
                  <w:pPr>
                    <w:pStyle w:val="Default"/>
                    <w:spacing w:after="120"/>
                    <w:jc w:val="center"/>
                    <w:rPr>
                      <w:rFonts w:cstheme="minorHAnsi"/>
                      <w:sz w:val="22"/>
                      <w:szCs w:val="22"/>
                      <w:lang w:val="en-GB"/>
                    </w:rPr>
                  </w:pPr>
                  <w:r w:rsidRPr="004A1E29">
                    <w:rPr>
                      <w:rFonts w:cstheme="minorHAnsi"/>
                      <w:sz w:val="22"/>
                      <w:szCs w:val="22"/>
                      <w:lang w:val="en-GB"/>
                    </w:rPr>
                    <w:t>No</w:t>
                  </w:r>
                </w:p>
              </w:tc>
            </w:tr>
          </w:tbl>
          <w:p w14:paraId="3AEF709E" w14:textId="77777777" w:rsidR="00CA2E0D" w:rsidRPr="004A1E29" w:rsidRDefault="00CA2E0D" w:rsidP="00CA2E0D">
            <w:pPr>
              <w:pStyle w:val="Akapitzlist"/>
              <w:spacing w:after="120" w:line="240" w:lineRule="auto"/>
              <w:ind w:left="0"/>
              <w:contextualSpacing w:val="0"/>
              <w:jc w:val="center"/>
              <w:rPr>
                <w:rFonts w:cstheme="minorHAnsi"/>
                <w:bCs/>
                <w:lang w:val="en-GB"/>
              </w:rPr>
            </w:pP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031D9" w14:textId="77777777" w:rsidR="00CA2E0D" w:rsidRPr="004A1E29" w:rsidRDefault="00CA2E0D" w:rsidP="00CA2E0D">
            <w:pPr>
              <w:pStyle w:val="Akapitzlist"/>
              <w:spacing w:after="120" w:line="240" w:lineRule="auto"/>
              <w:ind w:left="0"/>
              <w:contextualSpacing w:val="0"/>
              <w:jc w:val="center"/>
              <w:rPr>
                <w:rFonts w:cstheme="minorHAnsi"/>
                <w:bCs/>
                <w:lang w:val="en-GB"/>
              </w:rPr>
            </w:pPr>
            <w:r w:rsidRPr="004A1E29">
              <w:rPr>
                <w:rFonts w:cstheme="minorHAnsi"/>
                <w:lang w:val="en-GB"/>
              </w:rPr>
              <w:t>Aid provider</w:t>
            </w:r>
          </w:p>
        </w:tc>
        <w:tc>
          <w:tcPr>
            <w:tcW w:w="15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4FA24" w14:textId="77777777" w:rsidR="00CA2E0D" w:rsidRPr="004A1E29" w:rsidRDefault="00CA2E0D" w:rsidP="00CA2E0D">
            <w:pPr>
              <w:pStyle w:val="Akapitzlist"/>
              <w:spacing w:after="120" w:line="240" w:lineRule="auto"/>
              <w:ind w:left="0"/>
              <w:contextualSpacing w:val="0"/>
              <w:jc w:val="center"/>
              <w:rPr>
                <w:rFonts w:cstheme="minorHAnsi"/>
                <w:bCs/>
                <w:lang w:val="en-GB"/>
              </w:rPr>
            </w:pPr>
            <w:r w:rsidRPr="004A1E29">
              <w:rPr>
                <w:rFonts w:cstheme="minorHAnsi"/>
                <w:lang w:val="en-GB"/>
              </w:rPr>
              <w:t>Legal basis of the aid received</w:t>
            </w:r>
          </w:p>
        </w:tc>
        <w:tc>
          <w:tcPr>
            <w:tcW w:w="10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D2CA4" w14:textId="77777777" w:rsidR="00CA2E0D" w:rsidRPr="004A1E29" w:rsidRDefault="00CA2E0D" w:rsidP="00CA2E0D">
            <w:pPr>
              <w:pStyle w:val="Akapitzlist"/>
              <w:spacing w:after="120" w:line="240" w:lineRule="auto"/>
              <w:ind w:left="0"/>
              <w:contextualSpacing w:val="0"/>
              <w:jc w:val="center"/>
              <w:rPr>
                <w:rFonts w:cstheme="minorHAnsi"/>
                <w:bCs/>
                <w:lang w:val="en-GB"/>
              </w:rPr>
            </w:pPr>
            <w:r w:rsidRPr="004A1E29">
              <w:rPr>
                <w:rFonts w:cstheme="minorHAnsi"/>
                <w:lang w:val="en-GB"/>
              </w:rPr>
              <w:t>Form of aid</w:t>
            </w:r>
          </w:p>
        </w:tc>
        <w:tc>
          <w:tcPr>
            <w:tcW w:w="20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66944" w14:textId="77777777" w:rsidR="00CA2E0D" w:rsidRPr="004A1E29" w:rsidRDefault="00CA2E0D" w:rsidP="00CA2E0D">
            <w:pPr>
              <w:pStyle w:val="Akapitzlist"/>
              <w:spacing w:after="120" w:line="240" w:lineRule="auto"/>
              <w:ind w:left="0"/>
              <w:contextualSpacing w:val="0"/>
              <w:jc w:val="center"/>
              <w:rPr>
                <w:rFonts w:cstheme="minorHAnsi"/>
                <w:bCs/>
                <w:lang w:val="en-GB"/>
              </w:rPr>
            </w:pPr>
            <w:r w:rsidRPr="004A1E29">
              <w:rPr>
                <w:rFonts w:cstheme="minorHAnsi"/>
                <w:lang w:val="en-GB"/>
              </w:rPr>
              <w:t>Date of aid provision (day-month-year)</w:t>
            </w:r>
          </w:p>
        </w:tc>
        <w:tc>
          <w:tcPr>
            <w:tcW w:w="17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13FCD" w14:textId="77777777" w:rsidR="00CA2E0D" w:rsidRPr="004A1E29" w:rsidRDefault="00CA2E0D" w:rsidP="00CA2E0D">
            <w:pPr>
              <w:pStyle w:val="Akapitzlist"/>
              <w:spacing w:after="120" w:line="240" w:lineRule="auto"/>
              <w:ind w:left="0"/>
              <w:contextualSpacing w:val="0"/>
              <w:jc w:val="center"/>
              <w:rPr>
                <w:rFonts w:cstheme="minorHAnsi"/>
                <w:bCs/>
                <w:lang w:val="en-GB"/>
              </w:rPr>
            </w:pPr>
            <w:r w:rsidRPr="004A1E29">
              <w:rPr>
                <w:rFonts w:cstheme="minorHAnsi"/>
                <w:lang w:val="en-GB"/>
              </w:rPr>
              <w:t>Gross value of aid</w:t>
            </w:r>
          </w:p>
        </w:tc>
        <w:tc>
          <w:tcPr>
            <w:tcW w:w="1431" w:type="dxa"/>
            <w:gridSpan w:val="2"/>
            <w:tcBorders>
              <w:top w:val="single" w:sz="4" w:space="0" w:color="000000"/>
              <w:left w:val="single" w:sz="4" w:space="0" w:color="000000"/>
              <w:bottom w:val="single" w:sz="4" w:space="0" w:color="000000"/>
              <w:right w:val="single" w:sz="4" w:space="0" w:color="000000"/>
            </w:tcBorders>
          </w:tcPr>
          <w:p w14:paraId="47D97D1B" w14:textId="77777777" w:rsidR="00CA2E0D" w:rsidRPr="004A1E29" w:rsidRDefault="00CA2E0D" w:rsidP="00CA2E0D">
            <w:pPr>
              <w:pStyle w:val="Akapitzlist"/>
              <w:spacing w:after="120" w:line="240" w:lineRule="auto"/>
              <w:ind w:left="0"/>
              <w:contextualSpacing w:val="0"/>
              <w:jc w:val="center"/>
              <w:rPr>
                <w:rFonts w:cstheme="minorHAnsi"/>
                <w:bCs/>
                <w:lang w:val="en-GB"/>
              </w:rPr>
            </w:pPr>
            <w:r w:rsidRPr="004A1E29">
              <w:rPr>
                <w:rFonts w:cstheme="minorHAnsi"/>
                <w:lang w:val="en-GB"/>
              </w:rPr>
              <w:t>Eligible expenditure covered by state aid</w:t>
            </w:r>
            <w:r w:rsidRPr="004A1E29">
              <w:rPr>
                <w:rStyle w:val="Odwoanieprzypisudolnego"/>
                <w:rFonts w:cstheme="minorHAnsi"/>
                <w:lang w:val="en-GB"/>
              </w:rPr>
              <w:footnoteReference w:id="19"/>
            </w:r>
          </w:p>
        </w:tc>
      </w:tr>
      <w:tr w:rsidR="004F5693" w:rsidRPr="004A1E29" w14:paraId="5533CE9E" w14:textId="77777777" w:rsidTr="004F5693">
        <w:trPr>
          <w:gridAfter w:val="1"/>
          <w:wAfter w:w="8" w:type="dxa"/>
        </w:trPr>
        <w:tc>
          <w:tcPr>
            <w:tcW w:w="5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8BD51" w14:textId="77777777" w:rsidR="00CA2E0D" w:rsidRPr="004A1E29" w:rsidRDefault="00CA2E0D" w:rsidP="00CA2E0D">
            <w:pPr>
              <w:pStyle w:val="Akapitzlist"/>
              <w:spacing w:after="120" w:line="240" w:lineRule="auto"/>
              <w:ind w:left="0"/>
              <w:contextualSpacing w:val="0"/>
              <w:rPr>
                <w:rFonts w:cstheme="minorHAnsi"/>
                <w:bCs/>
                <w:lang w:val="en-GB"/>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39B53" w14:textId="77777777" w:rsidR="00CA2E0D" w:rsidRPr="004A1E29" w:rsidRDefault="00CA2E0D" w:rsidP="00CA2E0D">
            <w:pPr>
              <w:pStyle w:val="Akapitzlist"/>
              <w:spacing w:after="120" w:line="240" w:lineRule="auto"/>
              <w:ind w:left="0"/>
              <w:contextualSpacing w:val="0"/>
              <w:rPr>
                <w:rFonts w:cstheme="minorHAnsi"/>
                <w:bCs/>
                <w:lang w:val="en-GB"/>
              </w:rPr>
            </w:pPr>
          </w:p>
        </w:tc>
        <w:tc>
          <w:tcPr>
            <w:tcW w:w="15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AA342" w14:textId="77777777" w:rsidR="00CA2E0D" w:rsidRPr="004A1E29" w:rsidRDefault="00CA2E0D" w:rsidP="00CA2E0D">
            <w:pPr>
              <w:pStyle w:val="Akapitzlist"/>
              <w:spacing w:after="120" w:line="240" w:lineRule="auto"/>
              <w:ind w:left="0"/>
              <w:contextualSpacing w:val="0"/>
              <w:rPr>
                <w:rFonts w:cstheme="minorHAnsi"/>
                <w:bCs/>
                <w:lang w:val="en-GB"/>
              </w:rPr>
            </w:pPr>
          </w:p>
        </w:tc>
        <w:tc>
          <w:tcPr>
            <w:tcW w:w="10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5E839" w14:textId="77777777" w:rsidR="00CA2E0D" w:rsidRPr="004A1E29" w:rsidRDefault="00CA2E0D" w:rsidP="00CA2E0D">
            <w:pPr>
              <w:pStyle w:val="Akapitzlist"/>
              <w:spacing w:after="120" w:line="240" w:lineRule="auto"/>
              <w:ind w:left="0"/>
              <w:contextualSpacing w:val="0"/>
              <w:rPr>
                <w:rFonts w:cstheme="minorHAnsi"/>
                <w:bCs/>
                <w:lang w:val="en-GB"/>
              </w:rPr>
            </w:pPr>
          </w:p>
        </w:tc>
        <w:tc>
          <w:tcPr>
            <w:tcW w:w="20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ADD54" w14:textId="77777777" w:rsidR="00CA2E0D" w:rsidRPr="004A1E29" w:rsidRDefault="00CA2E0D" w:rsidP="00CA2E0D">
            <w:pPr>
              <w:pStyle w:val="Akapitzlist"/>
              <w:spacing w:after="120" w:line="240" w:lineRule="auto"/>
              <w:ind w:left="0"/>
              <w:contextualSpacing w:val="0"/>
              <w:rPr>
                <w:rFonts w:cstheme="minorHAnsi"/>
                <w:bCs/>
                <w:lang w:val="en-GB"/>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9947D" w14:textId="77777777" w:rsidR="00CA2E0D" w:rsidRPr="004A1E29" w:rsidRDefault="00CA2E0D" w:rsidP="00CA2E0D">
            <w:pPr>
              <w:pStyle w:val="Akapitzlist"/>
              <w:spacing w:after="120" w:line="240" w:lineRule="auto"/>
              <w:ind w:left="0"/>
              <w:contextualSpacing w:val="0"/>
              <w:jc w:val="center"/>
              <w:rPr>
                <w:rFonts w:cstheme="minorHAnsi"/>
                <w:bCs/>
                <w:lang w:val="en-GB"/>
              </w:rPr>
            </w:pPr>
            <w:r w:rsidRPr="004A1E29">
              <w:rPr>
                <w:rFonts w:cstheme="minorHAnsi"/>
                <w:lang w:val="en-GB"/>
              </w:rPr>
              <w:t>in PLN</w:t>
            </w:r>
          </w:p>
        </w:tc>
        <w:tc>
          <w:tcPr>
            <w:tcW w:w="575" w:type="dxa"/>
            <w:tcBorders>
              <w:top w:val="single" w:sz="4" w:space="0" w:color="000000"/>
              <w:left w:val="single" w:sz="4" w:space="0" w:color="000000"/>
              <w:bottom w:val="single" w:sz="4" w:space="0" w:color="000000"/>
              <w:right w:val="single" w:sz="4" w:space="0" w:color="000000"/>
            </w:tcBorders>
          </w:tcPr>
          <w:p w14:paraId="3FC2695C" w14:textId="77777777" w:rsidR="00CA2E0D" w:rsidRPr="004A1E29" w:rsidRDefault="00CA2E0D" w:rsidP="00CA2E0D">
            <w:pPr>
              <w:pStyle w:val="Akapitzlist"/>
              <w:spacing w:after="120" w:line="240" w:lineRule="auto"/>
              <w:ind w:left="0"/>
              <w:contextualSpacing w:val="0"/>
              <w:jc w:val="center"/>
              <w:rPr>
                <w:rFonts w:cstheme="minorHAnsi"/>
                <w:bCs/>
                <w:lang w:val="en-GB"/>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0C21E" w14:textId="77777777" w:rsidR="00CA2E0D" w:rsidRPr="004A1E29" w:rsidRDefault="00CA2E0D" w:rsidP="00CA2E0D">
            <w:pPr>
              <w:pStyle w:val="Akapitzlist"/>
              <w:spacing w:after="120" w:line="240" w:lineRule="auto"/>
              <w:ind w:left="0"/>
              <w:contextualSpacing w:val="0"/>
              <w:jc w:val="center"/>
              <w:rPr>
                <w:rFonts w:cstheme="minorHAnsi"/>
                <w:bCs/>
                <w:lang w:val="en-GB"/>
              </w:rPr>
            </w:pPr>
            <w:r w:rsidRPr="004A1E29">
              <w:rPr>
                <w:rFonts w:cstheme="minorHAnsi"/>
                <w:lang w:val="en-GB"/>
              </w:rPr>
              <w:t xml:space="preserve"> </w:t>
            </w:r>
          </w:p>
        </w:tc>
      </w:tr>
      <w:tr w:rsidR="004F5693" w:rsidRPr="004A1E29" w14:paraId="66BF5898" w14:textId="77777777" w:rsidTr="004F5693">
        <w:trPr>
          <w:gridAfter w:val="1"/>
          <w:wAfter w:w="8" w:type="dxa"/>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A5572" w14:textId="77777777" w:rsidR="00CA2E0D" w:rsidRPr="004A1E29" w:rsidRDefault="00CA2E0D" w:rsidP="00CA2E0D">
            <w:pPr>
              <w:pStyle w:val="Akapitzlist"/>
              <w:spacing w:after="120" w:line="240" w:lineRule="auto"/>
              <w:ind w:left="0"/>
              <w:contextualSpacing w:val="0"/>
              <w:rPr>
                <w:rFonts w:cstheme="minorHAnsi"/>
                <w:bCs/>
                <w:lang w:val="en-GB"/>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CCC48" w14:textId="77777777" w:rsidR="00CA2E0D" w:rsidRPr="004A1E29" w:rsidRDefault="00CA2E0D" w:rsidP="00CA2E0D">
            <w:pPr>
              <w:pStyle w:val="Akapitzlist"/>
              <w:spacing w:after="120" w:line="240" w:lineRule="auto"/>
              <w:ind w:left="0"/>
              <w:contextualSpacing w:val="0"/>
              <w:rPr>
                <w:rFonts w:cstheme="minorHAnsi"/>
                <w:bCs/>
                <w:lang w:val="en-GB"/>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C623" w14:textId="77777777" w:rsidR="00CA2E0D" w:rsidRPr="004A1E29" w:rsidRDefault="00CA2E0D" w:rsidP="00CA2E0D">
            <w:pPr>
              <w:pStyle w:val="Akapitzlist"/>
              <w:spacing w:after="120" w:line="240" w:lineRule="auto"/>
              <w:ind w:left="0"/>
              <w:contextualSpacing w:val="0"/>
              <w:rPr>
                <w:rFonts w:cstheme="minorHAnsi"/>
                <w:bCs/>
                <w:lang w:val="en-GB"/>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F20B5" w14:textId="77777777" w:rsidR="00CA2E0D" w:rsidRPr="004A1E29" w:rsidRDefault="00CA2E0D" w:rsidP="00CA2E0D">
            <w:pPr>
              <w:pStyle w:val="Akapitzlist"/>
              <w:spacing w:after="120" w:line="240" w:lineRule="auto"/>
              <w:ind w:left="0"/>
              <w:contextualSpacing w:val="0"/>
              <w:rPr>
                <w:rFonts w:cstheme="minorHAnsi"/>
                <w:bCs/>
                <w:lang w:val="en-GB"/>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67A1F" w14:textId="77777777" w:rsidR="00CA2E0D" w:rsidRPr="004A1E29" w:rsidRDefault="00CA2E0D" w:rsidP="00CA2E0D">
            <w:pPr>
              <w:pStyle w:val="Akapitzlist"/>
              <w:spacing w:after="120" w:line="240" w:lineRule="auto"/>
              <w:ind w:left="0"/>
              <w:contextualSpacing w:val="0"/>
              <w:rPr>
                <w:rFonts w:cstheme="minorHAnsi"/>
                <w:bCs/>
                <w:lang w:val="en-GB"/>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7E435" w14:textId="77777777" w:rsidR="00CA2E0D" w:rsidRPr="004A1E29" w:rsidRDefault="00CA2E0D" w:rsidP="00CA2E0D">
            <w:pPr>
              <w:pStyle w:val="Akapitzlist"/>
              <w:spacing w:after="120" w:line="240" w:lineRule="auto"/>
              <w:ind w:left="0"/>
              <w:contextualSpacing w:val="0"/>
              <w:rPr>
                <w:rFonts w:cstheme="minorHAnsi"/>
                <w:bCs/>
                <w:lang w:val="en-GB"/>
              </w:rPr>
            </w:pPr>
          </w:p>
        </w:tc>
        <w:tc>
          <w:tcPr>
            <w:tcW w:w="575" w:type="dxa"/>
            <w:tcBorders>
              <w:top w:val="single" w:sz="4" w:space="0" w:color="000000"/>
              <w:left w:val="single" w:sz="4" w:space="0" w:color="000000"/>
              <w:bottom w:val="single" w:sz="4" w:space="0" w:color="000000"/>
              <w:right w:val="single" w:sz="4" w:space="0" w:color="000000"/>
            </w:tcBorders>
          </w:tcPr>
          <w:p w14:paraId="585AA34A" w14:textId="77777777" w:rsidR="00CA2E0D" w:rsidRPr="004A1E29" w:rsidRDefault="00CA2E0D" w:rsidP="00CA2E0D">
            <w:pPr>
              <w:pStyle w:val="Akapitzlist"/>
              <w:spacing w:after="120" w:line="240" w:lineRule="auto"/>
              <w:ind w:left="0"/>
              <w:contextualSpacing w:val="0"/>
              <w:rPr>
                <w:rFonts w:cstheme="minorHAnsi"/>
                <w:bCs/>
                <w:lang w:val="en-GB"/>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72626" w14:textId="77777777" w:rsidR="00CA2E0D" w:rsidRPr="004A1E29" w:rsidRDefault="00CA2E0D" w:rsidP="00CA2E0D">
            <w:pPr>
              <w:pStyle w:val="Akapitzlist"/>
              <w:spacing w:after="120" w:line="240" w:lineRule="auto"/>
              <w:ind w:left="0"/>
              <w:contextualSpacing w:val="0"/>
              <w:rPr>
                <w:rFonts w:cstheme="minorHAnsi"/>
                <w:bCs/>
                <w:lang w:val="en-GB"/>
              </w:rPr>
            </w:pPr>
          </w:p>
        </w:tc>
      </w:tr>
      <w:tr w:rsidR="004F5693" w:rsidRPr="004A1E29" w14:paraId="5398EF33" w14:textId="77777777" w:rsidTr="004F5693">
        <w:trPr>
          <w:gridAfter w:val="1"/>
          <w:wAfter w:w="8" w:type="dxa"/>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6A26C" w14:textId="77777777" w:rsidR="00CA2E0D" w:rsidRPr="004A1E29" w:rsidRDefault="00CA2E0D" w:rsidP="00CA2E0D">
            <w:pPr>
              <w:pStyle w:val="Akapitzlist"/>
              <w:spacing w:after="120" w:line="240" w:lineRule="auto"/>
              <w:ind w:left="0"/>
              <w:contextualSpacing w:val="0"/>
              <w:rPr>
                <w:rFonts w:cstheme="minorHAnsi"/>
                <w:bCs/>
                <w:lang w:val="en-GB"/>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1F5F4" w14:textId="77777777" w:rsidR="00CA2E0D" w:rsidRPr="004A1E29" w:rsidRDefault="00CA2E0D" w:rsidP="00CA2E0D">
            <w:pPr>
              <w:pStyle w:val="Akapitzlist"/>
              <w:spacing w:after="120" w:line="240" w:lineRule="auto"/>
              <w:ind w:left="0"/>
              <w:contextualSpacing w:val="0"/>
              <w:rPr>
                <w:rFonts w:cstheme="minorHAnsi"/>
                <w:bCs/>
                <w:lang w:val="en-GB"/>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580FC" w14:textId="77777777" w:rsidR="00CA2E0D" w:rsidRPr="004A1E29" w:rsidRDefault="00CA2E0D" w:rsidP="00CA2E0D">
            <w:pPr>
              <w:pStyle w:val="Akapitzlist"/>
              <w:spacing w:after="120" w:line="240" w:lineRule="auto"/>
              <w:ind w:left="0"/>
              <w:contextualSpacing w:val="0"/>
              <w:rPr>
                <w:rFonts w:cstheme="minorHAnsi"/>
                <w:bCs/>
                <w:lang w:val="en-GB"/>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21A3E" w14:textId="77777777" w:rsidR="00CA2E0D" w:rsidRPr="004A1E29" w:rsidRDefault="00CA2E0D" w:rsidP="00CA2E0D">
            <w:pPr>
              <w:pStyle w:val="Akapitzlist"/>
              <w:spacing w:after="120" w:line="240" w:lineRule="auto"/>
              <w:ind w:left="0"/>
              <w:contextualSpacing w:val="0"/>
              <w:rPr>
                <w:rFonts w:cstheme="minorHAnsi"/>
                <w:bCs/>
                <w:lang w:val="en-GB"/>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57611" w14:textId="77777777" w:rsidR="00CA2E0D" w:rsidRPr="004A1E29" w:rsidRDefault="00CA2E0D" w:rsidP="00CA2E0D">
            <w:pPr>
              <w:pStyle w:val="Akapitzlist"/>
              <w:spacing w:after="120" w:line="240" w:lineRule="auto"/>
              <w:ind w:left="0"/>
              <w:contextualSpacing w:val="0"/>
              <w:rPr>
                <w:rFonts w:cstheme="minorHAnsi"/>
                <w:bCs/>
                <w:lang w:val="en-GB"/>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F5733" w14:textId="77777777" w:rsidR="00CA2E0D" w:rsidRPr="004A1E29" w:rsidRDefault="00CA2E0D" w:rsidP="00CA2E0D">
            <w:pPr>
              <w:pStyle w:val="Akapitzlist"/>
              <w:spacing w:after="120" w:line="240" w:lineRule="auto"/>
              <w:ind w:left="0"/>
              <w:contextualSpacing w:val="0"/>
              <w:rPr>
                <w:rFonts w:cstheme="minorHAnsi"/>
                <w:bCs/>
                <w:lang w:val="en-GB"/>
              </w:rPr>
            </w:pPr>
          </w:p>
        </w:tc>
        <w:tc>
          <w:tcPr>
            <w:tcW w:w="575" w:type="dxa"/>
            <w:tcBorders>
              <w:top w:val="single" w:sz="4" w:space="0" w:color="000000"/>
              <w:left w:val="single" w:sz="4" w:space="0" w:color="000000"/>
              <w:bottom w:val="single" w:sz="4" w:space="0" w:color="000000"/>
              <w:right w:val="single" w:sz="4" w:space="0" w:color="000000"/>
            </w:tcBorders>
          </w:tcPr>
          <w:p w14:paraId="78F0FE04" w14:textId="77777777" w:rsidR="00CA2E0D" w:rsidRPr="004A1E29" w:rsidRDefault="00CA2E0D" w:rsidP="00CA2E0D">
            <w:pPr>
              <w:pStyle w:val="Akapitzlist"/>
              <w:spacing w:after="120" w:line="240" w:lineRule="auto"/>
              <w:ind w:left="0"/>
              <w:contextualSpacing w:val="0"/>
              <w:rPr>
                <w:rFonts w:cstheme="minorHAnsi"/>
                <w:bCs/>
                <w:lang w:val="en-GB"/>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DCC06" w14:textId="77777777" w:rsidR="00CA2E0D" w:rsidRPr="004A1E29" w:rsidRDefault="00CA2E0D" w:rsidP="00CA2E0D">
            <w:pPr>
              <w:pStyle w:val="Akapitzlist"/>
              <w:spacing w:after="120" w:line="240" w:lineRule="auto"/>
              <w:ind w:left="0"/>
              <w:contextualSpacing w:val="0"/>
              <w:rPr>
                <w:rFonts w:cstheme="minorHAnsi"/>
                <w:bCs/>
                <w:lang w:val="en-GB"/>
              </w:rPr>
            </w:pPr>
          </w:p>
        </w:tc>
      </w:tr>
      <w:tr w:rsidR="004F5693" w:rsidRPr="004A1E29" w14:paraId="39C0D53B" w14:textId="77777777" w:rsidTr="004F5693">
        <w:trPr>
          <w:gridAfter w:val="1"/>
          <w:wAfter w:w="8" w:type="dxa"/>
        </w:trPr>
        <w:tc>
          <w:tcPr>
            <w:tcW w:w="577" w:type="dxa"/>
            <w:tcBorders>
              <w:top w:val="single" w:sz="4" w:space="0" w:color="000000"/>
            </w:tcBorders>
            <w:shd w:val="clear" w:color="auto" w:fill="auto"/>
            <w:tcMar>
              <w:top w:w="0" w:type="dxa"/>
              <w:left w:w="108" w:type="dxa"/>
              <w:bottom w:w="0" w:type="dxa"/>
              <w:right w:w="108" w:type="dxa"/>
            </w:tcMar>
          </w:tcPr>
          <w:p w14:paraId="2D1D5C62" w14:textId="77777777" w:rsidR="00CA2E0D" w:rsidRPr="004A1E29" w:rsidRDefault="00CA2E0D" w:rsidP="00CA2E0D">
            <w:pPr>
              <w:pStyle w:val="Akapitzlist"/>
              <w:spacing w:after="120" w:line="240" w:lineRule="auto"/>
              <w:ind w:left="0"/>
              <w:contextualSpacing w:val="0"/>
              <w:rPr>
                <w:rFonts w:cstheme="minorHAnsi"/>
                <w:bCs/>
                <w:lang w:val="en-GB"/>
              </w:rPr>
            </w:pPr>
          </w:p>
        </w:tc>
        <w:tc>
          <w:tcPr>
            <w:tcW w:w="1725" w:type="dxa"/>
            <w:tcBorders>
              <w:top w:val="single" w:sz="4" w:space="0" w:color="000000"/>
            </w:tcBorders>
            <w:shd w:val="clear" w:color="auto" w:fill="auto"/>
            <w:tcMar>
              <w:top w:w="0" w:type="dxa"/>
              <w:left w:w="108" w:type="dxa"/>
              <w:bottom w:w="0" w:type="dxa"/>
              <w:right w:w="108" w:type="dxa"/>
            </w:tcMar>
          </w:tcPr>
          <w:p w14:paraId="5A6DE1CF" w14:textId="77777777" w:rsidR="00CA2E0D" w:rsidRPr="004A1E29" w:rsidRDefault="00CA2E0D" w:rsidP="00CA2E0D">
            <w:pPr>
              <w:pStyle w:val="Akapitzlist"/>
              <w:spacing w:after="120" w:line="240" w:lineRule="auto"/>
              <w:ind w:left="0"/>
              <w:contextualSpacing w:val="0"/>
              <w:rPr>
                <w:rFonts w:cstheme="minorHAnsi"/>
                <w:bCs/>
                <w:lang w:val="en-GB"/>
              </w:rPr>
            </w:pPr>
          </w:p>
        </w:tc>
        <w:tc>
          <w:tcPr>
            <w:tcW w:w="1581" w:type="dxa"/>
            <w:tcBorders>
              <w:top w:val="single" w:sz="4" w:space="0" w:color="000000"/>
              <w:right w:val="single" w:sz="4" w:space="0" w:color="000000"/>
            </w:tcBorders>
            <w:shd w:val="clear" w:color="auto" w:fill="auto"/>
            <w:tcMar>
              <w:top w:w="0" w:type="dxa"/>
              <w:left w:w="108" w:type="dxa"/>
              <w:bottom w:w="0" w:type="dxa"/>
              <w:right w:w="108" w:type="dxa"/>
            </w:tcMar>
          </w:tcPr>
          <w:p w14:paraId="447CA39B" w14:textId="77777777" w:rsidR="00CA2E0D" w:rsidRPr="004A1E29" w:rsidRDefault="00CA2E0D" w:rsidP="00CA2E0D">
            <w:pPr>
              <w:pStyle w:val="Akapitzlist"/>
              <w:spacing w:after="120" w:line="240" w:lineRule="auto"/>
              <w:ind w:left="0"/>
              <w:contextualSpacing w:val="0"/>
              <w:rPr>
                <w:rFonts w:cstheme="minorHAnsi"/>
                <w:bCs/>
                <w:lang w:val="en-GB"/>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D503D" w14:textId="77777777" w:rsidR="00CA2E0D" w:rsidRPr="004A1E29" w:rsidRDefault="00CA2E0D" w:rsidP="00CA2E0D">
            <w:pPr>
              <w:pStyle w:val="Akapitzlist"/>
              <w:spacing w:after="120" w:line="240" w:lineRule="auto"/>
              <w:ind w:left="0"/>
              <w:contextualSpacing w:val="0"/>
              <w:rPr>
                <w:rFonts w:cstheme="minorHAnsi"/>
                <w:bCs/>
                <w:lang w:val="en-GB"/>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C39AF" w14:textId="77777777" w:rsidR="00CA2E0D" w:rsidRPr="004A1E29" w:rsidRDefault="00CA2E0D" w:rsidP="00CA2E0D">
            <w:pPr>
              <w:pStyle w:val="Akapitzlist"/>
              <w:spacing w:after="120" w:line="240" w:lineRule="auto"/>
              <w:ind w:left="0"/>
              <w:contextualSpacing w:val="0"/>
              <w:rPr>
                <w:rFonts w:cstheme="minorHAnsi"/>
                <w:bCs/>
                <w:lang w:val="en-GB"/>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DBC6C" w14:textId="77777777" w:rsidR="00CA2E0D" w:rsidRPr="004A1E29" w:rsidRDefault="00CA2E0D" w:rsidP="00CA2E0D">
            <w:pPr>
              <w:pStyle w:val="Akapitzlist"/>
              <w:spacing w:after="120" w:line="240" w:lineRule="auto"/>
              <w:ind w:left="0"/>
              <w:contextualSpacing w:val="0"/>
              <w:rPr>
                <w:rFonts w:cstheme="minorHAnsi"/>
                <w:bCs/>
                <w:lang w:val="en-GB"/>
              </w:rPr>
            </w:pPr>
          </w:p>
        </w:tc>
        <w:tc>
          <w:tcPr>
            <w:tcW w:w="575" w:type="dxa"/>
            <w:tcBorders>
              <w:top w:val="single" w:sz="4" w:space="0" w:color="000000"/>
              <w:left w:val="single" w:sz="4" w:space="0" w:color="000000"/>
              <w:bottom w:val="single" w:sz="4" w:space="0" w:color="000000"/>
              <w:right w:val="single" w:sz="4" w:space="0" w:color="000000"/>
            </w:tcBorders>
          </w:tcPr>
          <w:p w14:paraId="409270DF" w14:textId="77777777" w:rsidR="00CA2E0D" w:rsidRPr="004A1E29" w:rsidRDefault="00CA2E0D" w:rsidP="00CA2E0D">
            <w:pPr>
              <w:pStyle w:val="Akapitzlist"/>
              <w:spacing w:after="120" w:line="240" w:lineRule="auto"/>
              <w:ind w:left="0"/>
              <w:contextualSpacing w:val="0"/>
              <w:rPr>
                <w:rFonts w:cstheme="minorHAnsi"/>
                <w:bCs/>
                <w:lang w:val="en-GB"/>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0FB98" w14:textId="77777777" w:rsidR="00CA2E0D" w:rsidRPr="004A1E29" w:rsidRDefault="00CA2E0D" w:rsidP="00CA2E0D">
            <w:pPr>
              <w:pStyle w:val="Akapitzlist"/>
              <w:spacing w:after="120" w:line="240" w:lineRule="auto"/>
              <w:ind w:left="0"/>
              <w:contextualSpacing w:val="0"/>
              <w:rPr>
                <w:rFonts w:cstheme="minorHAnsi"/>
                <w:bCs/>
                <w:lang w:val="en-GB"/>
              </w:rPr>
            </w:pPr>
          </w:p>
        </w:tc>
      </w:tr>
      <w:tr w:rsidR="004F5693" w:rsidRPr="00755961" w14:paraId="59EFF0CD" w14:textId="77777777" w:rsidTr="004F5693">
        <w:trPr>
          <w:gridAfter w:val="1"/>
          <w:wAfter w:w="8" w:type="dxa"/>
        </w:trPr>
        <w:tc>
          <w:tcPr>
            <w:tcW w:w="577" w:type="dxa"/>
            <w:shd w:val="clear" w:color="auto" w:fill="auto"/>
            <w:tcMar>
              <w:top w:w="0" w:type="dxa"/>
              <w:left w:w="108" w:type="dxa"/>
              <w:bottom w:w="0" w:type="dxa"/>
              <w:right w:w="108" w:type="dxa"/>
            </w:tcMar>
          </w:tcPr>
          <w:p w14:paraId="35C0F833" w14:textId="77777777" w:rsidR="00CA2E0D" w:rsidRPr="004A1E29" w:rsidRDefault="00CA2E0D" w:rsidP="00CA2E0D">
            <w:pPr>
              <w:pStyle w:val="Akapitzlist"/>
              <w:spacing w:after="120" w:line="240" w:lineRule="auto"/>
              <w:ind w:left="0"/>
              <w:contextualSpacing w:val="0"/>
              <w:rPr>
                <w:rFonts w:cstheme="minorHAnsi"/>
                <w:bCs/>
                <w:lang w:val="en-GB"/>
              </w:rPr>
            </w:pPr>
          </w:p>
        </w:tc>
        <w:tc>
          <w:tcPr>
            <w:tcW w:w="1725" w:type="dxa"/>
            <w:shd w:val="clear" w:color="auto" w:fill="auto"/>
            <w:tcMar>
              <w:top w:w="0" w:type="dxa"/>
              <w:left w:w="108" w:type="dxa"/>
              <w:bottom w:w="0" w:type="dxa"/>
              <w:right w:w="108" w:type="dxa"/>
            </w:tcMar>
          </w:tcPr>
          <w:p w14:paraId="46FE861B" w14:textId="77777777" w:rsidR="00CA2E0D" w:rsidRPr="004A1E29" w:rsidRDefault="00CA2E0D" w:rsidP="00CA2E0D">
            <w:pPr>
              <w:pStyle w:val="Akapitzlist"/>
              <w:spacing w:after="120" w:line="240" w:lineRule="auto"/>
              <w:ind w:left="0"/>
              <w:contextualSpacing w:val="0"/>
              <w:rPr>
                <w:rFonts w:cstheme="minorHAnsi"/>
                <w:bCs/>
                <w:lang w:val="en-GB"/>
              </w:rPr>
            </w:pPr>
          </w:p>
        </w:tc>
        <w:tc>
          <w:tcPr>
            <w:tcW w:w="1581" w:type="dxa"/>
            <w:tcBorders>
              <w:right w:val="single" w:sz="4" w:space="0" w:color="000000"/>
            </w:tcBorders>
            <w:shd w:val="clear" w:color="auto" w:fill="auto"/>
            <w:tcMar>
              <w:top w:w="0" w:type="dxa"/>
              <w:left w:w="108" w:type="dxa"/>
              <w:bottom w:w="0" w:type="dxa"/>
              <w:right w:w="108" w:type="dxa"/>
            </w:tcMar>
          </w:tcPr>
          <w:p w14:paraId="2D6BA1E3" w14:textId="77777777" w:rsidR="00CA2E0D" w:rsidRPr="004A1E29" w:rsidRDefault="00CA2E0D" w:rsidP="00CA2E0D">
            <w:pPr>
              <w:pStyle w:val="Akapitzlist"/>
              <w:spacing w:after="120" w:line="240" w:lineRule="auto"/>
              <w:ind w:left="0"/>
              <w:contextualSpacing w:val="0"/>
              <w:rPr>
                <w:rFonts w:cstheme="minorHAnsi"/>
                <w:bCs/>
                <w:lang w:val="en-GB"/>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4068" w14:textId="77777777" w:rsidR="00CA2E0D" w:rsidRPr="004A1E29" w:rsidRDefault="00CA2E0D" w:rsidP="00CA2E0D">
            <w:pPr>
              <w:pStyle w:val="Akapitzlist"/>
              <w:spacing w:after="120" w:line="240" w:lineRule="auto"/>
              <w:ind w:left="0"/>
              <w:contextualSpacing w:val="0"/>
              <w:rPr>
                <w:rFonts w:cstheme="minorHAnsi"/>
                <w:b/>
                <w:bCs/>
                <w:lang w:val="en-GB"/>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99F70" w14:textId="77777777" w:rsidR="00CA2E0D" w:rsidRPr="004A1E29" w:rsidRDefault="00CA2E0D" w:rsidP="00CA2E0D">
            <w:pPr>
              <w:pStyle w:val="Akapitzlist"/>
              <w:spacing w:after="120" w:line="240" w:lineRule="auto"/>
              <w:ind w:left="0"/>
              <w:contextualSpacing w:val="0"/>
              <w:rPr>
                <w:rFonts w:cstheme="minorHAnsi"/>
                <w:lang w:val="en-GB"/>
              </w:rPr>
            </w:pPr>
            <w:r w:rsidRPr="004A1E29">
              <w:rPr>
                <w:rFonts w:cstheme="minorHAnsi"/>
                <w:b/>
                <w:bCs/>
                <w:lang w:val="en-GB"/>
              </w:rPr>
              <w:t>Total value of state aid</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6545F" w14:textId="77777777" w:rsidR="00CA2E0D" w:rsidRPr="004A1E29" w:rsidRDefault="00CA2E0D" w:rsidP="00CA2E0D">
            <w:pPr>
              <w:pStyle w:val="Akapitzlist"/>
              <w:spacing w:after="120" w:line="240" w:lineRule="auto"/>
              <w:ind w:left="0"/>
              <w:contextualSpacing w:val="0"/>
              <w:rPr>
                <w:rFonts w:cstheme="minorHAnsi"/>
                <w:bCs/>
                <w:lang w:val="en-GB"/>
              </w:rPr>
            </w:pPr>
          </w:p>
        </w:tc>
        <w:tc>
          <w:tcPr>
            <w:tcW w:w="575" w:type="dxa"/>
            <w:tcBorders>
              <w:top w:val="single" w:sz="4" w:space="0" w:color="000000"/>
              <w:left w:val="single" w:sz="4" w:space="0" w:color="000000"/>
              <w:bottom w:val="single" w:sz="4" w:space="0" w:color="000000"/>
              <w:right w:val="single" w:sz="4" w:space="0" w:color="000000"/>
            </w:tcBorders>
          </w:tcPr>
          <w:p w14:paraId="40AF7B55" w14:textId="77777777" w:rsidR="00CA2E0D" w:rsidRPr="004A1E29" w:rsidRDefault="00CA2E0D" w:rsidP="00CA2E0D">
            <w:pPr>
              <w:pStyle w:val="Akapitzlist"/>
              <w:spacing w:after="120" w:line="240" w:lineRule="auto"/>
              <w:ind w:left="0"/>
              <w:contextualSpacing w:val="0"/>
              <w:rPr>
                <w:rFonts w:cstheme="minorHAnsi"/>
                <w:bCs/>
                <w:lang w:val="en-GB"/>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B35E9" w14:textId="77777777" w:rsidR="00CA2E0D" w:rsidRPr="004A1E29" w:rsidRDefault="00CA2E0D" w:rsidP="00CA2E0D">
            <w:pPr>
              <w:pStyle w:val="Akapitzlist"/>
              <w:spacing w:after="120" w:line="240" w:lineRule="auto"/>
              <w:ind w:left="0"/>
              <w:contextualSpacing w:val="0"/>
              <w:rPr>
                <w:rFonts w:cstheme="minorHAnsi"/>
                <w:bCs/>
                <w:lang w:val="en-GB"/>
              </w:rPr>
            </w:pPr>
          </w:p>
        </w:tc>
      </w:tr>
    </w:tbl>
    <w:p w14:paraId="64F5DB69" w14:textId="77777777" w:rsidR="00CA2E0D" w:rsidRPr="004A1E29" w:rsidRDefault="00CA2E0D" w:rsidP="00CA2E0D">
      <w:pPr>
        <w:pStyle w:val="Akapitzlist"/>
        <w:numPr>
          <w:ilvl w:val="1"/>
          <w:numId w:val="2"/>
        </w:numPr>
        <w:suppressAutoHyphens/>
        <w:autoSpaceDN w:val="0"/>
        <w:spacing w:after="120" w:line="240" w:lineRule="auto"/>
        <w:contextualSpacing w:val="0"/>
        <w:jc w:val="both"/>
        <w:textAlignment w:val="baseline"/>
        <w:rPr>
          <w:rFonts w:cstheme="minorHAnsi"/>
          <w:lang w:val="en-GB"/>
        </w:rPr>
      </w:pPr>
      <w:r w:rsidRPr="004A1E29">
        <w:rPr>
          <w:rFonts w:cstheme="minorHAnsi"/>
          <w:lang w:val="en-GB"/>
        </w:rPr>
        <w:t>The Tenderer is not subject to the obligation to return state aid pursuant to a decision of the European Commission declaring such aid to be illegal and inconsistent with the internal market.</w:t>
      </w:r>
    </w:p>
    <w:p w14:paraId="46EF3D69" w14:textId="77777777" w:rsidR="00CA2E0D" w:rsidRPr="004A1E29" w:rsidRDefault="00CA2E0D" w:rsidP="00CA2E0D">
      <w:pPr>
        <w:pStyle w:val="Akapitzlist"/>
        <w:numPr>
          <w:ilvl w:val="1"/>
          <w:numId w:val="2"/>
        </w:numPr>
        <w:suppressAutoHyphens/>
        <w:autoSpaceDN w:val="0"/>
        <w:spacing w:after="120" w:line="240" w:lineRule="auto"/>
        <w:contextualSpacing w:val="0"/>
        <w:jc w:val="both"/>
        <w:textAlignment w:val="baseline"/>
        <w:rPr>
          <w:rFonts w:cstheme="minorHAnsi"/>
          <w:lang w:val="en-GB"/>
        </w:rPr>
      </w:pPr>
      <w:r w:rsidRPr="004A1E29">
        <w:rPr>
          <w:rFonts w:cstheme="minorHAnsi"/>
          <w:lang w:val="en-GB"/>
        </w:rPr>
        <w:t xml:space="preserve">The information contained in this statement concerning state aid and de minimis aid, is in compliance with the provisions of the Act of 30 April 2004 on proceedings concerning state aid (Journal of Laws of 2007, </w:t>
      </w:r>
      <w:proofErr w:type="gramStart"/>
      <w:r w:rsidRPr="004A1E29">
        <w:rPr>
          <w:rFonts w:cstheme="minorHAnsi"/>
          <w:lang w:val="en-GB"/>
        </w:rPr>
        <w:t>No</w:t>
      </w:r>
      <w:proofErr w:type="gramEnd"/>
      <w:r w:rsidRPr="004A1E29">
        <w:rPr>
          <w:rFonts w:cstheme="minorHAnsi"/>
          <w:lang w:val="en-GB"/>
        </w:rPr>
        <w:t xml:space="preserve"> 59, item 404, as amended) and with the provisions of the relevant aid scheme. </w:t>
      </w:r>
    </w:p>
    <w:p w14:paraId="6313BF0F" w14:textId="77777777" w:rsidR="00CA2E0D" w:rsidRPr="004A1E29" w:rsidRDefault="00CA2E0D" w:rsidP="00CA2E0D">
      <w:pPr>
        <w:pStyle w:val="Akapitzlist"/>
        <w:numPr>
          <w:ilvl w:val="1"/>
          <w:numId w:val="2"/>
        </w:numPr>
        <w:suppressAutoHyphens/>
        <w:autoSpaceDN w:val="0"/>
        <w:spacing w:after="120" w:line="240" w:lineRule="auto"/>
        <w:contextualSpacing w:val="0"/>
        <w:jc w:val="both"/>
        <w:textAlignment w:val="baseline"/>
        <w:rPr>
          <w:rFonts w:cstheme="minorHAnsi"/>
          <w:lang w:val="en-GB"/>
        </w:rPr>
      </w:pPr>
      <w:r w:rsidRPr="004A1E29">
        <w:rPr>
          <w:rFonts w:cstheme="minorHAnsi"/>
          <w:lang w:val="en-GB"/>
        </w:rPr>
        <w:t>The Tenderer represents that in case it receives co-financing for the implementation of an Investment is will not breach the ban on double financing of expenditure, i.e. it will not use public European funding or public domestic funding to finance, in part or in whole, expenditure (costs incurred by the Financial Intermediary and the Intermediary’s Investment) financed by PFR Starter FIZ, not shall it finance with PFR Starter FIZ funding, in part or in whole, any expenditure financed previously from other European or domestic resources.</w:t>
      </w:r>
    </w:p>
    <w:p w14:paraId="07957B18" w14:textId="77777777" w:rsidR="00CA2E0D" w:rsidRPr="004A1E29" w:rsidRDefault="00CA2E0D" w:rsidP="00CA2E0D">
      <w:pPr>
        <w:pStyle w:val="Akapitzlist"/>
        <w:numPr>
          <w:ilvl w:val="0"/>
          <w:numId w:val="2"/>
        </w:numPr>
        <w:suppressAutoHyphens/>
        <w:autoSpaceDN w:val="0"/>
        <w:spacing w:after="120" w:line="240" w:lineRule="auto"/>
        <w:ind w:left="709"/>
        <w:contextualSpacing w:val="0"/>
        <w:jc w:val="both"/>
        <w:textAlignment w:val="baseline"/>
        <w:rPr>
          <w:rFonts w:cstheme="minorHAnsi"/>
          <w:b/>
          <w:u w:val="single"/>
          <w:lang w:val="en-GB"/>
        </w:rPr>
      </w:pPr>
      <w:bookmarkStart w:id="1" w:name="_Ref467149754"/>
      <w:r w:rsidRPr="004A1E29">
        <w:rPr>
          <w:rFonts w:cstheme="minorHAnsi"/>
          <w:b/>
          <w:bCs/>
          <w:u w:val="single"/>
          <w:lang w:val="en-GB"/>
        </w:rPr>
        <w:lastRenderedPageBreak/>
        <w:t>Conflict of interest</w:t>
      </w:r>
    </w:p>
    <w:bookmarkEnd w:id="1"/>
    <w:p w14:paraId="0C9FF6A1" w14:textId="77777777" w:rsidR="00CA2E0D" w:rsidRPr="004A1E29" w:rsidRDefault="00CA2E0D" w:rsidP="00CA2E0D">
      <w:pPr>
        <w:pStyle w:val="Akapitzlist"/>
        <w:numPr>
          <w:ilvl w:val="1"/>
          <w:numId w:val="2"/>
        </w:numPr>
        <w:suppressAutoHyphens/>
        <w:autoSpaceDN w:val="0"/>
        <w:spacing w:after="120" w:line="240" w:lineRule="auto"/>
        <w:contextualSpacing w:val="0"/>
        <w:jc w:val="both"/>
        <w:textAlignment w:val="baseline"/>
        <w:rPr>
          <w:rFonts w:cstheme="minorHAnsi"/>
          <w:lang w:val="en-GB"/>
        </w:rPr>
      </w:pPr>
      <w:r w:rsidRPr="004A1E29">
        <w:rPr>
          <w:rFonts w:cstheme="minorHAnsi"/>
          <w:lang w:val="en-GB"/>
        </w:rPr>
        <w:t>There is no conflict of interest arising for any of the reasons set out in §12.1 of the Rules.</w:t>
      </w:r>
    </w:p>
    <w:p w14:paraId="6FC526B9" w14:textId="77777777" w:rsidR="00CA2E0D" w:rsidRPr="004A1E29" w:rsidRDefault="00CA2E0D" w:rsidP="00CA2E0D">
      <w:pPr>
        <w:pStyle w:val="Akapitzlist"/>
        <w:numPr>
          <w:ilvl w:val="1"/>
          <w:numId w:val="2"/>
        </w:numPr>
        <w:suppressAutoHyphens/>
        <w:autoSpaceDN w:val="0"/>
        <w:spacing w:after="120" w:line="240" w:lineRule="auto"/>
        <w:contextualSpacing w:val="0"/>
        <w:jc w:val="both"/>
        <w:textAlignment w:val="baseline"/>
        <w:rPr>
          <w:rFonts w:cstheme="minorHAnsi"/>
          <w:lang w:val="en-GB"/>
        </w:rPr>
      </w:pPr>
      <w:r w:rsidRPr="004A1E29">
        <w:rPr>
          <w:rFonts w:cstheme="minorHAnsi"/>
          <w:lang w:val="en-GB"/>
        </w:rPr>
        <w:t>The Tenderer, Financial Intermediary, Managing Entity, Team shall immediately notify PFR Ventures of any circumstances constituting a conflict of interests leading to untruthfulness of the statement contained in section 5.1 above.</w:t>
      </w:r>
    </w:p>
    <w:p w14:paraId="796B75CC" w14:textId="77777777" w:rsidR="00CA2E0D" w:rsidRPr="004A1E29" w:rsidRDefault="00CA2E0D" w:rsidP="00CA2E0D">
      <w:pPr>
        <w:pStyle w:val="Akapitzlist"/>
        <w:numPr>
          <w:ilvl w:val="0"/>
          <w:numId w:val="2"/>
        </w:numPr>
        <w:suppressAutoHyphens/>
        <w:autoSpaceDN w:val="0"/>
        <w:spacing w:after="120" w:line="240" w:lineRule="auto"/>
        <w:ind w:left="709"/>
        <w:contextualSpacing w:val="0"/>
        <w:jc w:val="both"/>
        <w:textAlignment w:val="baseline"/>
        <w:rPr>
          <w:rFonts w:cstheme="minorHAnsi"/>
          <w:b/>
          <w:u w:val="single"/>
          <w:lang w:val="en-GB"/>
        </w:rPr>
      </w:pPr>
      <w:r w:rsidRPr="004A1E29">
        <w:rPr>
          <w:rFonts w:cstheme="minorHAnsi"/>
          <w:b/>
          <w:bCs/>
          <w:u w:val="single"/>
          <w:lang w:val="en-GB"/>
        </w:rPr>
        <w:t>Consent to due diligence in the event the Tender is selected through the Call</w:t>
      </w:r>
    </w:p>
    <w:p w14:paraId="2A931736" w14:textId="77777777" w:rsidR="00CA2E0D" w:rsidRPr="004A1E29" w:rsidRDefault="00CA2E0D" w:rsidP="00CA2E0D">
      <w:pPr>
        <w:pStyle w:val="Akapitzlist"/>
        <w:numPr>
          <w:ilvl w:val="1"/>
          <w:numId w:val="2"/>
        </w:numPr>
        <w:suppressAutoHyphens/>
        <w:autoSpaceDN w:val="0"/>
        <w:spacing w:after="120" w:line="240" w:lineRule="auto"/>
        <w:contextualSpacing w:val="0"/>
        <w:jc w:val="both"/>
        <w:textAlignment w:val="baseline"/>
        <w:rPr>
          <w:rFonts w:cstheme="minorHAnsi"/>
          <w:lang w:val="en-GB"/>
        </w:rPr>
      </w:pPr>
      <w:r w:rsidRPr="004A1E29">
        <w:rPr>
          <w:rFonts w:cstheme="minorHAnsi"/>
          <w:lang w:val="en-GB"/>
        </w:rPr>
        <w:t xml:space="preserve">The Tenderer consents to the conduct by PFR Ventures, PFR Starter FIZ and/or their professional advisers, due diligence to the extent required in the opinion of PFR Ventures or PFR Starter FIZ, including </w:t>
      </w:r>
      <w:proofErr w:type="gramStart"/>
      <w:r w:rsidRPr="004A1E29">
        <w:rPr>
          <w:rFonts w:cstheme="minorHAnsi"/>
          <w:lang w:val="en-GB"/>
        </w:rPr>
        <w:t>in order to</w:t>
      </w:r>
      <w:proofErr w:type="gramEnd"/>
      <w:r w:rsidRPr="004A1E29">
        <w:rPr>
          <w:rFonts w:cstheme="minorHAnsi"/>
          <w:lang w:val="en-GB"/>
        </w:rPr>
        <w:t xml:space="preserve"> determine whether the Tenderer is an entity authorised to submit the Tender under the terms and conditions set out in the Rules. The due diligence shall also apply to the Financial Intermediary, the Managing Entity, the Team Members and Private Investors. To this end, the Tenderer agrees to deliver, on demand of PFR Ventures and/or PFR Starter FIZ or their professional advisers, delivers to PFR Ventures and/or PFR Starter FIZ or their professional advisers, all documents confirming the Tenderer’s authorisation to submit the Tender, and agrees to ensure that the Financial Intermediary, Managing Entity, the Team and/or Private Investor provide information and documents for the purpose mentioned above.</w:t>
      </w:r>
    </w:p>
    <w:p w14:paraId="67EE2F15" w14:textId="77777777" w:rsidR="00CA2E0D" w:rsidRPr="004A1E29" w:rsidRDefault="00CA2E0D" w:rsidP="00CA2E0D">
      <w:pPr>
        <w:pStyle w:val="Akapitzlist"/>
        <w:numPr>
          <w:ilvl w:val="0"/>
          <w:numId w:val="2"/>
        </w:numPr>
        <w:suppressAutoHyphens/>
        <w:autoSpaceDN w:val="0"/>
        <w:spacing w:after="120" w:line="240" w:lineRule="auto"/>
        <w:ind w:left="709"/>
        <w:contextualSpacing w:val="0"/>
        <w:jc w:val="both"/>
        <w:textAlignment w:val="baseline"/>
        <w:rPr>
          <w:rFonts w:cstheme="minorHAnsi"/>
          <w:lang w:val="en-GB"/>
        </w:rPr>
      </w:pPr>
      <w:r w:rsidRPr="004A1E29">
        <w:rPr>
          <w:rFonts w:cstheme="minorHAnsi"/>
          <w:b/>
          <w:bCs/>
          <w:u w:val="single"/>
          <w:lang w:val="en-GB"/>
        </w:rPr>
        <w:t>Other statements</w:t>
      </w:r>
    </w:p>
    <w:p w14:paraId="379128DF" w14:textId="77777777" w:rsidR="00CA2E0D" w:rsidRPr="004A1E29" w:rsidRDefault="00CA2E0D" w:rsidP="00CA2E0D">
      <w:pPr>
        <w:pStyle w:val="Akapitzlist"/>
        <w:numPr>
          <w:ilvl w:val="1"/>
          <w:numId w:val="2"/>
        </w:numPr>
        <w:suppressAutoHyphens/>
        <w:autoSpaceDN w:val="0"/>
        <w:spacing w:after="120" w:line="240" w:lineRule="auto"/>
        <w:contextualSpacing w:val="0"/>
        <w:jc w:val="both"/>
        <w:textAlignment w:val="baseline"/>
        <w:rPr>
          <w:rFonts w:cstheme="minorHAnsi"/>
          <w:lang w:val="en-GB"/>
        </w:rPr>
      </w:pPr>
      <w:r w:rsidRPr="004A1E29">
        <w:rPr>
          <w:rFonts w:cstheme="minorHAnsi"/>
          <w:lang w:val="en-GB"/>
        </w:rPr>
        <w:t>The Tenderer represents that Private Investors and the persons making up the Team as specified in the Tender have undertaken to provide contributions to the Financial Intermediary in the amount declared in the Tender.</w:t>
      </w:r>
    </w:p>
    <w:p w14:paraId="56D9D099" w14:textId="77777777" w:rsidR="00CA2E0D" w:rsidRPr="004A1E29" w:rsidRDefault="00CA2E0D" w:rsidP="00CA2E0D">
      <w:pPr>
        <w:pStyle w:val="Akapitzlist"/>
        <w:numPr>
          <w:ilvl w:val="1"/>
          <w:numId w:val="2"/>
        </w:numPr>
        <w:suppressAutoHyphens/>
        <w:autoSpaceDN w:val="0"/>
        <w:spacing w:after="120" w:line="240" w:lineRule="auto"/>
        <w:contextualSpacing w:val="0"/>
        <w:jc w:val="both"/>
        <w:textAlignment w:val="baseline"/>
        <w:rPr>
          <w:rFonts w:cstheme="minorHAnsi"/>
          <w:lang w:val="en-GB"/>
        </w:rPr>
      </w:pPr>
      <w:r w:rsidRPr="004A1E29">
        <w:rPr>
          <w:rFonts w:cstheme="minorHAnsi"/>
          <w:lang w:val="en-GB"/>
        </w:rPr>
        <w:t>The Tenderer agrees to ensure that at least 2 members of the Key Personnel will declare their commitment to the investment activity of the Financial Intermediary in the amount of at least 32 hours a week.</w:t>
      </w:r>
    </w:p>
    <w:p w14:paraId="7D245266" w14:textId="77777777" w:rsidR="00CA2E0D" w:rsidRDefault="00CA2E0D" w:rsidP="00CA2E0D">
      <w:pPr>
        <w:pStyle w:val="Akapitzlist"/>
        <w:numPr>
          <w:ilvl w:val="1"/>
          <w:numId w:val="2"/>
        </w:numPr>
        <w:suppressAutoHyphens/>
        <w:autoSpaceDN w:val="0"/>
        <w:spacing w:after="120" w:line="240" w:lineRule="auto"/>
        <w:contextualSpacing w:val="0"/>
        <w:jc w:val="both"/>
        <w:textAlignment w:val="baseline"/>
        <w:rPr>
          <w:rFonts w:cstheme="minorHAnsi"/>
          <w:lang w:val="en-GB"/>
        </w:rPr>
      </w:pPr>
      <w:r w:rsidRPr="004A1E29">
        <w:rPr>
          <w:rFonts w:cstheme="minorHAnsi"/>
          <w:lang w:val="en-GB"/>
        </w:rPr>
        <w:t>The Tenderer acknowledges the fact that the Financial Intermediary will act as an intermediary in transferring financial support provided by PFR Starter FIZ to Eligible Undertakings and Private Investors, which support constitutes state aid within the meaning of Article 107 (1) TFEU and is subject, in particular, insofar as its allocation and settlement is concerned, to the provisions of the Act of 30 April 2004 on proceedings concerning state aid (Journal of Laws of 2007, No. 59, item 404, as amended), and the Tenderer undertakes to ensure that the state aid granted is duly accounted for and reported through the Financial Intermediary.</w:t>
      </w:r>
    </w:p>
    <w:p w14:paraId="757A0491" w14:textId="77777777" w:rsidR="00D51CD3" w:rsidRPr="00A56959" w:rsidRDefault="00D51CD3" w:rsidP="00D51CD3">
      <w:pPr>
        <w:pStyle w:val="Akapitzlist"/>
        <w:numPr>
          <w:ilvl w:val="1"/>
          <w:numId w:val="2"/>
        </w:numPr>
        <w:suppressAutoHyphens/>
        <w:autoSpaceDN w:val="0"/>
        <w:spacing w:after="120" w:line="240" w:lineRule="auto"/>
        <w:contextualSpacing w:val="0"/>
        <w:jc w:val="both"/>
        <w:textAlignment w:val="baseline"/>
        <w:rPr>
          <w:rFonts w:cstheme="minorHAnsi"/>
          <w:lang w:val="en-US"/>
        </w:rPr>
      </w:pPr>
      <w:r w:rsidRPr="00A56959">
        <w:rPr>
          <w:rFonts w:cstheme="minorHAnsi"/>
          <w:lang w:val="en-US"/>
        </w:rPr>
        <w:t>T</w:t>
      </w:r>
      <w:r>
        <w:rPr>
          <w:rFonts w:cstheme="minorHAnsi"/>
          <w:lang w:val="en-US"/>
        </w:rPr>
        <w:t>he Tenders agrees to undergo an</w:t>
      </w:r>
      <w:r w:rsidRPr="00A56959">
        <w:rPr>
          <w:rFonts w:cstheme="minorHAnsi"/>
          <w:lang w:val="en-US"/>
        </w:rPr>
        <w:t xml:space="preserve"> audit conducted by the audit institutions of the Republic of Poland, the European </w:t>
      </w:r>
      <w:proofErr w:type="gramStart"/>
      <w:r w:rsidRPr="00A56959">
        <w:rPr>
          <w:rFonts w:cstheme="minorHAnsi"/>
          <w:lang w:val="en-US"/>
        </w:rPr>
        <w:t>Commission</w:t>
      </w:r>
      <w:proofErr w:type="gramEnd"/>
      <w:r w:rsidRPr="00A56959">
        <w:rPr>
          <w:rFonts w:cstheme="minorHAnsi"/>
          <w:lang w:val="en-US"/>
        </w:rPr>
        <w:t xml:space="preserve"> and the European Court of Auditors.</w:t>
      </w:r>
    </w:p>
    <w:p w14:paraId="650E3612" w14:textId="77777777" w:rsidR="00D51CD3" w:rsidRPr="00A56959" w:rsidRDefault="00D51CD3" w:rsidP="00D51CD3">
      <w:pPr>
        <w:pStyle w:val="Akapitzlist"/>
        <w:numPr>
          <w:ilvl w:val="1"/>
          <w:numId w:val="2"/>
        </w:numPr>
        <w:suppressAutoHyphens/>
        <w:autoSpaceDN w:val="0"/>
        <w:spacing w:after="120" w:line="240" w:lineRule="auto"/>
        <w:contextualSpacing w:val="0"/>
        <w:jc w:val="both"/>
        <w:textAlignment w:val="baseline"/>
        <w:rPr>
          <w:rFonts w:cstheme="minorHAnsi"/>
          <w:lang w:val="en-US"/>
        </w:rPr>
      </w:pPr>
      <w:r w:rsidRPr="00A56959">
        <w:rPr>
          <w:rFonts w:cstheme="minorHAnsi"/>
          <w:lang w:val="en-US"/>
        </w:rPr>
        <w:t>The Tenderer represents that if, between the date of submitting the Tender and the date of signing the Investment Agreement, any information contained in the present statement change, they shall immediately inform PFR Ventures about such a change.</w:t>
      </w:r>
    </w:p>
    <w:p w14:paraId="6D3D3311" w14:textId="77777777" w:rsidR="00D51CD3" w:rsidRPr="00A56959" w:rsidRDefault="00D51CD3" w:rsidP="00D51CD3">
      <w:pPr>
        <w:pStyle w:val="Akapitzlist"/>
        <w:numPr>
          <w:ilvl w:val="1"/>
          <w:numId w:val="2"/>
        </w:numPr>
        <w:suppressAutoHyphens/>
        <w:autoSpaceDN w:val="0"/>
        <w:spacing w:after="120" w:line="240" w:lineRule="auto"/>
        <w:contextualSpacing w:val="0"/>
        <w:jc w:val="both"/>
        <w:textAlignment w:val="baseline"/>
        <w:rPr>
          <w:rFonts w:cstheme="minorHAnsi"/>
          <w:lang w:val="en-US"/>
        </w:rPr>
      </w:pPr>
      <w:r w:rsidRPr="00A56959">
        <w:rPr>
          <w:rFonts w:cstheme="minorHAnsi"/>
          <w:lang w:val="en-US"/>
        </w:rPr>
        <w:t xml:space="preserve">The present statement constitutes and integral part of the Tender.  </w:t>
      </w:r>
    </w:p>
    <w:p w14:paraId="5FDD0DE8" w14:textId="77777777" w:rsidR="00D51CD3" w:rsidRPr="00A56959" w:rsidRDefault="00D51CD3" w:rsidP="00D51CD3">
      <w:pPr>
        <w:pStyle w:val="Akapitzlist"/>
        <w:numPr>
          <w:ilvl w:val="1"/>
          <w:numId w:val="2"/>
        </w:numPr>
        <w:suppressAutoHyphens/>
        <w:autoSpaceDN w:val="0"/>
        <w:spacing w:after="120" w:line="240" w:lineRule="auto"/>
        <w:contextualSpacing w:val="0"/>
        <w:jc w:val="both"/>
        <w:textAlignment w:val="baseline"/>
        <w:rPr>
          <w:rFonts w:cstheme="minorHAnsi"/>
          <w:lang w:val="en-US"/>
        </w:rPr>
      </w:pPr>
      <w:r w:rsidRPr="00A56959">
        <w:rPr>
          <w:rFonts w:cstheme="minorHAnsi"/>
          <w:lang w:val="en-US"/>
        </w:rPr>
        <w:t>Any terms not defined herein shall have the meaning assigned to them in the Rules.</w:t>
      </w:r>
    </w:p>
    <w:p w14:paraId="3E6B6B80" w14:textId="77777777" w:rsidR="00D51CD3" w:rsidRDefault="00D51CD3" w:rsidP="00D51CD3">
      <w:pPr>
        <w:pStyle w:val="Akapitzlist"/>
        <w:spacing w:after="120" w:line="240" w:lineRule="auto"/>
        <w:ind w:left="360"/>
        <w:contextualSpacing w:val="0"/>
        <w:jc w:val="center"/>
        <w:rPr>
          <w:rFonts w:cstheme="minorHAnsi"/>
          <w:u w:val="single"/>
          <w:lang w:val="en-US"/>
        </w:rPr>
      </w:pPr>
    </w:p>
    <w:p w14:paraId="3A07EEC2" w14:textId="77777777" w:rsidR="00741290" w:rsidRDefault="00741290" w:rsidP="00D51CD3">
      <w:pPr>
        <w:pStyle w:val="Akapitzlist"/>
        <w:spacing w:after="120" w:line="240" w:lineRule="auto"/>
        <w:ind w:left="360"/>
        <w:contextualSpacing w:val="0"/>
        <w:jc w:val="center"/>
        <w:rPr>
          <w:rFonts w:cstheme="minorHAnsi"/>
          <w:u w:val="single"/>
          <w:lang w:val="en-US"/>
        </w:rPr>
      </w:pPr>
    </w:p>
    <w:p w14:paraId="5D5F5979" w14:textId="77777777" w:rsidR="00741290" w:rsidRDefault="00741290" w:rsidP="00D51CD3">
      <w:pPr>
        <w:pStyle w:val="Akapitzlist"/>
        <w:spacing w:after="120" w:line="240" w:lineRule="auto"/>
        <w:ind w:left="360"/>
        <w:contextualSpacing w:val="0"/>
        <w:jc w:val="center"/>
        <w:rPr>
          <w:rFonts w:cstheme="minorHAnsi"/>
          <w:u w:val="single"/>
          <w:lang w:val="en-US"/>
        </w:rPr>
      </w:pPr>
    </w:p>
    <w:p w14:paraId="2DF85E5C" w14:textId="77777777" w:rsidR="00D51CD3" w:rsidRDefault="00D51CD3" w:rsidP="00D51CD3">
      <w:pPr>
        <w:pStyle w:val="Akapitzlist"/>
        <w:spacing w:after="120" w:line="240" w:lineRule="auto"/>
        <w:ind w:left="360"/>
        <w:contextualSpacing w:val="0"/>
        <w:jc w:val="center"/>
        <w:rPr>
          <w:rFonts w:cstheme="minorHAnsi"/>
          <w:u w:val="single"/>
          <w:lang w:val="en-US"/>
        </w:rPr>
      </w:pPr>
    </w:p>
    <w:p w14:paraId="2C48BC60" w14:textId="77777777" w:rsidR="00D51CD3" w:rsidRPr="00A56959" w:rsidRDefault="00D51CD3" w:rsidP="00D51CD3">
      <w:pPr>
        <w:pStyle w:val="Akapitzlist"/>
        <w:spacing w:after="120" w:line="240" w:lineRule="auto"/>
        <w:ind w:left="360"/>
        <w:contextualSpacing w:val="0"/>
        <w:jc w:val="center"/>
        <w:rPr>
          <w:rFonts w:cstheme="minorHAnsi"/>
          <w:u w:val="single"/>
          <w:lang w:val="en-US"/>
        </w:rPr>
      </w:pPr>
      <w:r w:rsidRPr="00A56959">
        <w:rPr>
          <w:rFonts w:cstheme="minorHAnsi"/>
          <w:u w:val="single"/>
          <w:lang w:val="en-US"/>
        </w:rPr>
        <w:t>SIGNATURES:</w:t>
      </w:r>
    </w:p>
    <w:tbl>
      <w:tblPr>
        <w:tblStyle w:val="Tabela-Siatka"/>
        <w:tblW w:w="0" w:type="auto"/>
        <w:tblInd w:w="421" w:type="dxa"/>
        <w:tblLook w:val="04A0" w:firstRow="1" w:lastRow="0" w:firstColumn="1" w:lastColumn="0" w:noHBand="0" w:noVBand="1"/>
      </w:tblPr>
      <w:tblGrid>
        <w:gridCol w:w="8641"/>
      </w:tblGrid>
      <w:tr w:rsidR="00D51CD3" w:rsidRPr="00755961" w14:paraId="2E8CBFCD" w14:textId="77777777" w:rsidTr="00E83680">
        <w:tc>
          <w:tcPr>
            <w:tcW w:w="8641" w:type="dxa"/>
          </w:tcPr>
          <w:p w14:paraId="7D6F7741" w14:textId="77777777" w:rsidR="00D51CD3" w:rsidRPr="00A56959" w:rsidRDefault="00D51CD3" w:rsidP="00E83680">
            <w:pPr>
              <w:spacing w:after="120"/>
              <w:rPr>
                <w:rFonts w:cstheme="minorHAnsi"/>
                <w:sz w:val="22"/>
              </w:rPr>
            </w:pPr>
          </w:p>
          <w:p w14:paraId="383EE449" w14:textId="77777777" w:rsidR="00D51CD3" w:rsidRPr="00A56959" w:rsidRDefault="00D51CD3" w:rsidP="00E83680">
            <w:pPr>
              <w:spacing w:after="120"/>
              <w:jc w:val="center"/>
              <w:rPr>
                <w:rFonts w:cstheme="minorHAnsi"/>
                <w:sz w:val="22"/>
              </w:rPr>
            </w:pPr>
            <w:r w:rsidRPr="00A56959">
              <w:rPr>
                <w:rFonts w:cstheme="minorHAnsi"/>
                <w:sz w:val="22"/>
              </w:rPr>
              <w:t>__________________________________________________________________________</w:t>
            </w:r>
          </w:p>
          <w:p w14:paraId="5FC89F1B" w14:textId="77777777" w:rsidR="00D51CD3" w:rsidRPr="00A56959" w:rsidRDefault="00D51CD3" w:rsidP="00E83680">
            <w:pPr>
              <w:spacing w:after="120"/>
              <w:jc w:val="center"/>
              <w:rPr>
                <w:rFonts w:cstheme="minorHAnsi"/>
                <w:sz w:val="22"/>
              </w:rPr>
            </w:pPr>
            <w:r w:rsidRPr="00A56959">
              <w:rPr>
                <w:rFonts w:cstheme="minorHAnsi"/>
                <w:sz w:val="22"/>
              </w:rPr>
              <w:t xml:space="preserve">First name and surname of the Tenderer / person </w:t>
            </w:r>
            <w:proofErr w:type="spellStart"/>
            <w:r w:rsidRPr="00A56959">
              <w:rPr>
                <w:rFonts w:cstheme="minorHAnsi"/>
                <w:sz w:val="22"/>
              </w:rPr>
              <w:t>authorised</w:t>
            </w:r>
            <w:proofErr w:type="spellEnd"/>
            <w:r w:rsidRPr="00A56959">
              <w:rPr>
                <w:rFonts w:cstheme="minorHAnsi"/>
                <w:sz w:val="22"/>
              </w:rPr>
              <w:t xml:space="preserve"> to represent the Tenderer</w:t>
            </w:r>
          </w:p>
        </w:tc>
      </w:tr>
      <w:tr w:rsidR="00D51CD3" w:rsidRPr="00755961" w14:paraId="30E8BD3E" w14:textId="77777777" w:rsidTr="00E83680">
        <w:tc>
          <w:tcPr>
            <w:tcW w:w="8641" w:type="dxa"/>
          </w:tcPr>
          <w:p w14:paraId="68A6F203" w14:textId="77777777" w:rsidR="00D51CD3" w:rsidRPr="00A56959" w:rsidRDefault="00D51CD3" w:rsidP="00E83680">
            <w:pPr>
              <w:spacing w:after="120"/>
              <w:rPr>
                <w:rFonts w:cstheme="minorHAnsi"/>
                <w:sz w:val="22"/>
              </w:rPr>
            </w:pPr>
          </w:p>
          <w:p w14:paraId="679F556C" w14:textId="77777777" w:rsidR="00D51CD3" w:rsidRPr="00A56959" w:rsidRDefault="00D51CD3" w:rsidP="00E83680">
            <w:pPr>
              <w:spacing w:after="120"/>
              <w:jc w:val="center"/>
              <w:rPr>
                <w:rFonts w:cstheme="minorHAnsi"/>
                <w:sz w:val="22"/>
              </w:rPr>
            </w:pPr>
            <w:r w:rsidRPr="00A56959">
              <w:rPr>
                <w:rFonts w:cstheme="minorHAnsi"/>
                <w:sz w:val="22"/>
              </w:rPr>
              <w:t>__________________________________________________________________________</w:t>
            </w:r>
          </w:p>
          <w:p w14:paraId="669D057F" w14:textId="77777777" w:rsidR="00D51CD3" w:rsidRPr="00A56959" w:rsidRDefault="00D51CD3" w:rsidP="00E83680">
            <w:pPr>
              <w:spacing w:after="120"/>
              <w:jc w:val="center"/>
              <w:rPr>
                <w:rFonts w:cstheme="minorHAnsi"/>
                <w:sz w:val="22"/>
              </w:rPr>
            </w:pPr>
            <w:r w:rsidRPr="00A56959">
              <w:rPr>
                <w:rFonts w:cstheme="minorHAnsi"/>
                <w:sz w:val="22"/>
              </w:rPr>
              <w:t>Role of the person signing the Form within the Tenderer’s structure</w:t>
            </w:r>
            <w:r w:rsidRPr="00A56959">
              <w:rPr>
                <w:rStyle w:val="Odwoanieprzypisudolnego"/>
                <w:rFonts w:cstheme="minorHAnsi"/>
                <w:sz w:val="22"/>
              </w:rPr>
              <w:footnoteReference w:id="20"/>
            </w:r>
          </w:p>
        </w:tc>
      </w:tr>
      <w:tr w:rsidR="00D51CD3" w:rsidRPr="00755961" w14:paraId="06AA042C" w14:textId="77777777" w:rsidTr="00E83680">
        <w:tc>
          <w:tcPr>
            <w:tcW w:w="8641" w:type="dxa"/>
          </w:tcPr>
          <w:p w14:paraId="6BB0C0C6" w14:textId="77777777" w:rsidR="00D51CD3" w:rsidRPr="00A56959" w:rsidRDefault="00D51CD3" w:rsidP="00E83680">
            <w:pPr>
              <w:spacing w:after="120"/>
              <w:rPr>
                <w:rFonts w:cstheme="minorHAnsi"/>
                <w:sz w:val="22"/>
              </w:rPr>
            </w:pPr>
          </w:p>
          <w:p w14:paraId="76E0502E" w14:textId="77777777" w:rsidR="00D51CD3" w:rsidRPr="00A56959" w:rsidRDefault="00D51CD3" w:rsidP="00E83680">
            <w:pPr>
              <w:spacing w:after="120"/>
              <w:jc w:val="center"/>
              <w:rPr>
                <w:rFonts w:cstheme="minorHAnsi"/>
                <w:sz w:val="22"/>
              </w:rPr>
            </w:pPr>
            <w:r w:rsidRPr="00A56959">
              <w:rPr>
                <w:rFonts w:cstheme="minorHAnsi"/>
                <w:sz w:val="22"/>
              </w:rPr>
              <w:t>__________________________________________________________________________</w:t>
            </w:r>
          </w:p>
          <w:p w14:paraId="1670F66A" w14:textId="77777777" w:rsidR="00D51CD3" w:rsidRPr="00A56959" w:rsidRDefault="00D51CD3" w:rsidP="00E83680">
            <w:pPr>
              <w:spacing w:after="120"/>
              <w:jc w:val="center"/>
              <w:rPr>
                <w:rFonts w:cstheme="minorHAnsi"/>
                <w:sz w:val="22"/>
              </w:rPr>
            </w:pPr>
            <w:r w:rsidRPr="00A56959">
              <w:rPr>
                <w:rFonts w:cstheme="minorHAnsi"/>
                <w:sz w:val="22"/>
              </w:rPr>
              <w:t xml:space="preserve">Signature of the Tenderer / Signature of the person </w:t>
            </w:r>
            <w:proofErr w:type="spellStart"/>
            <w:r w:rsidRPr="00A56959">
              <w:rPr>
                <w:rFonts w:cstheme="minorHAnsi"/>
                <w:sz w:val="22"/>
              </w:rPr>
              <w:t>authorised</w:t>
            </w:r>
            <w:proofErr w:type="spellEnd"/>
            <w:r w:rsidRPr="00A56959">
              <w:rPr>
                <w:rFonts w:cstheme="minorHAnsi"/>
                <w:sz w:val="22"/>
              </w:rPr>
              <w:t xml:space="preserve"> to represent the Tenderer</w:t>
            </w:r>
          </w:p>
        </w:tc>
      </w:tr>
      <w:tr w:rsidR="00D51CD3" w:rsidRPr="00A56959" w14:paraId="27749B23" w14:textId="77777777" w:rsidTr="00E83680">
        <w:tc>
          <w:tcPr>
            <w:tcW w:w="8641" w:type="dxa"/>
          </w:tcPr>
          <w:p w14:paraId="436EC049" w14:textId="77777777" w:rsidR="00D51CD3" w:rsidRPr="00A56959" w:rsidRDefault="00D51CD3" w:rsidP="00E83680">
            <w:pPr>
              <w:spacing w:after="120"/>
              <w:rPr>
                <w:rFonts w:cstheme="minorHAnsi"/>
                <w:sz w:val="22"/>
              </w:rPr>
            </w:pPr>
          </w:p>
          <w:p w14:paraId="0AD3821F" w14:textId="77777777" w:rsidR="00D51CD3" w:rsidRPr="00A56959" w:rsidRDefault="00D51CD3" w:rsidP="00E83680">
            <w:pPr>
              <w:spacing w:after="120"/>
              <w:jc w:val="center"/>
              <w:rPr>
                <w:rFonts w:cstheme="minorHAnsi"/>
                <w:sz w:val="22"/>
              </w:rPr>
            </w:pPr>
            <w:r w:rsidRPr="00A56959">
              <w:rPr>
                <w:rFonts w:cstheme="minorHAnsi"/>
                <w:sz w:val="22"/>
              </w:rPr>
              <w:t>__________________________________________________________________________</w:t>
            </w:r>
          </w:p>
          <w:p w14:paraId="6F338B51" w14:textId="77777777" w:rsidR="00D51CD3" w:rsidRPr="00A56959" w:rsidRDefault="00D51CD3" w:rsidP="00E83680">
            <w:pPr>
              <w:spacing w:after="120"/>
              <w:jc w:val="center"/>
              <w:rPr>
                <w:rFonts w:cstheme="minorHAnsi"/>
                <w:sz w:val="22"/>
              </w:rPr>
            </w:pPr>
            <w:r w:rsidRPr="00A56959">
              <w:rPr>
                <w:rFonts w:cstheme="minorHAnsi"/>
                <w:sz w:val="22"/>
              </w:rPr>
              <w:t>Date, place</w:t>
            </w:r>
          </w:p>
        </w:tc>
      </w:tr>
    </w:tbl>
    <w:p w14:paraId="3F70592B" w14:textId="77777777" w:rsidR="00D51CD3" w:rsidRPr="00D51CD3" w:rsidRDefault="00D51CD3" w:rsidP="00D51CD3">
      <w:pPr>
        <w:suppressAutoHyphens/>
        <w:autoSpaceDN w:val="0"/>
        <w:spacing w:after="120" w:line="240" w:lineRule="auto"/>
        <w:jc w:val="both"/>
        <w:textAlignment w:val="baseline"/>
        <w:rPr>
          <w:rFonts w:cstheme="minorHAnsi"/>
          <w:lang w:val="en-GB"/>
        </w:rPr>
      </w:pPr>
    </w:p>
    <w:p w14:paraId="54199D16" w14:textId="77777777" w:rsidR="00D51CD3" w:rsidRPr="00A56959" w:rsidRDefault="00D51CD3" w:rsidP="00D51CD3">
      <w:pPr>
        <w:pStyle w:val="Akapitzlist"/>
        <w:numPr>
          <w:ilvl w:val="0"/>
          <w:numId w:val="2"/>
        </w:numPr>
        <w:spacing w:after="120" w:line="240" w:lineRule="auto"/>
        <w:rPr>
          <w:rFonts w:cstheme="minorHAnsi"/>
          <w:b/>
          <w:lang w:val="en-US"/>
        </w:rPr>
      </w:pPr>
      <w:r w:rsidRPr="00A56959">
        <w:rPr>
          <w:b/>
          <w:bCs/>
          <w:lang w:val="en-US"/>
        </w:rPr>
        <w:t xml:space="preserve">Information on the processing of personal data </w:t>
      </w:r>
    </w:p>
    <w:p w14:paraId="75AC465B" w14:textId="77777777" w:rsidR="00D51CD3" w:rsidRPr="00A56959" w:rsidRDefault="00D51CD3" w:rsidP="00D51CD3">
      <w:pPr>
        <w:pStyle w:val="Akapitzlist"/>
        <w:numPr>
          <w:ilvl w:val="1"/>
          <w:numId w:val="15"/>
        </w:numPr>
        <w:spacing w:after="0"/>
        <w:jc w:val="both"/>
        <w:outlineLvl w:val="6"/>
        <w:rPr>
          <w:rFonts w:asciiTheme="minorHAnsi" w:eastAsia="Garamond" w:hAnsiTheme="minorHAnsi" w:cstheme="minorHAnsi"/>
          <w:lang w:val="en-US"/>
        </w:rPr>
      </w:pPr>
      <w:r w:rsidRPr="00A56959">
        <w:rPr>
          <w:rFonts w:asciiTheme="minorHAnsi" w:hAnsiTheme="minorHAnsi"/>
          <w:lang w:val="en-US"/>
        </w:rPr>
        <w:t>Personal data contained in any documents submitted in relation to the Tender (with the data contained in the present statement included) is processed by PFR Ventures and/or PFR Starter and other authorized entities for purposes related to the analysis of the Tender, in accordance with legal regulations and complies with the conditions set forth under Art. 6(1)(c) of the Regulation (EU) 2016/679 of the European Parliament and of the Council of 27 April 2016 on the protection of natural persons with regard to the processing of personal data and on the free movement of such data (hereinafter referred to as “GDPR”)  – personal data is necessary for the implementation of the 2014-2020 Smart Growth Operational Program, inter alia pursuant to:</w:t>
      </w:r>
    </w:p>
    <w:p w14:paraId="6D140A71" w14:textId="77777777" w:rsidR="00D51CD3" w:rsidRPr="00A56959" w:rsidRDefault="00D51CD3" w:rsidP="00D51CD3">
      <w:pPr>
        <w:numPr>
          <w:ilvl w:val="1"/>
          <w:numId w:val="13"/>
        </w:numPr>
        <w:spacing w:after="0"/>
        <w:ind w:left="567" w:hanging="283"/>
        <w:jc w:val="both"/>
        <w:rPr>
          <w:rFonts w:asciiTheme="minorHAnsi" w:eastAsia="Garamond" w:hAnsiTheme="minorHAnsi" w:cstheme="minorHAnsi"/>
          <w:lang w:val="en-US"/>
        </w:rPr>
      </w:pPr>
      <w:r w:rsidRPr="00A56959">
        <w:rPr>
          <w:rFonts w:asciiTheme="minorHAnsi" w:eastAsia="Garamond" w:hAnsiTheme="minorHAnsi" w:cstheme="minorHAnsi"/>
          <w:lang w:val="en-US"/>
        </w:rPr>
        <w:t>Regulation (EU)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w:t>
      </w:r>
      <w:r>
        <w:rPr>
          <w:rFonts w:asciiTheme="minorHAnsi" w:eastAsia="Garamond" w:hAnsiTheme="minorHAnsi" w:cstheme="minorHAnsi"/>
          <w:lang w:val="en-US"/>
        </w:rPr>
        <w:t xml:space="preserve">und and the European Maritime  </w:t>
      </w:r>
      <w:r w:rsidRPr="00A56959">
        <w:rPr>
          <w:rFonts w:asciiTheme="minorHAnsi" w:eastAsia="Garamond" w:hAnsiTheme="minorHAnsi" w:cstheme="minorHAnsi"/>
          <w:lang w:val="en-US"/>
        </w:rPr>
        <w:t>and Fisheries Fund and repealing Council Regulation (EC) No 1083/2006;</w:t>
      </w:r>
    </w:p>
    <w:p w14:paraId="34E174C8" w14:textId="77777777" w:rsidR="00D51CD3" w:rsidRPr="00A56959" w:rsidRDefault="00D51CD3" w:rsidP="00D51CD3">
      <w:pPr>
        <w:numPr>
          <w:ilvl w:val="1"/>
          <w:numId w:val="13"/>
        </w:numPr>
        <w:spacing w:after="0"/>
        <w:ind w:left="567" w:hanging="283"/>
        <w:jc w:val="both"/>
        <w:rPr>
          <w:rFonts w:asciiTheme="minorHAnsi" w:eastAsia="Garamond" w:hAnsiTheme="minorHAnsi" w:cstheme="minorHAnsi"/>
          <w:lang w:val="en-US"/>
        </w:rPr>
      </w:pPr>
      <w:r w:rsidRPr="00A56959">
        <w:rPr>
          <w:rFonts w:asciiTheme="minorHAnsi" w:eastAsia="Garamond" w:hAnsiTheme="minorHAnsi" w:cstheme="minorHAnsi"/>
          <w:lang w:val="en-US"/>
        </w:rPr>
        <w:t xml:space="preserve">the Act of 11 July 2014 on the implementation of cohesion policy-related programs funded under the 2014-2020 financial </w:t>
      </w:r>
      <w:proofErr w:type="gramStart"/>
      <w:r w:rsidRPr="00A56959">
        <w:rPr>
          <w:rFonts w:asciiTheme="minorHAnsi" w:eastAsia="Garamond" w:hAnsiTheme="minorHAnsi" w:cstheme="minorHAnsi"/>
          <w:lang w:val="en-US"/>
        </w:rPr>
        <w:t>perspective;</w:t>
      </w:r>
      <w:proofErr w:type="gramEnd"/>
    </w:p>
    <w:p w14:paraId="4849ED81" w14:textId="77777777" w:rsidR="00D51CD3" w:rsidRPr="00A56959" w:rsidRDefault="00D51CD3" w:rsidP="00D51CD3">
      <w:pPr>
        <w:suppressAutoHyphens/>
        <w:autoSpaceDN w:val="0"/>
        <w:spacing w:after="120" w:line="240" w:lineRule="auto"/>
        <w:jc w:val="both"/>
        <w:textAlignment w:val="baseline"/>
        <w:rPr>
          <w:sz w:val="20"/>
          <w:lang w:val="en-US"/>
        </w:rPr>
      </w:pPr>
      <w:r w:rsidRPr="00A56959">
        <w:rPr>
          <w:rFonts w:asciiTheme="minorHAnsi" w:hAnsiTheme="minorHAnsi"/>
          <w:lang w:val="en-US"/>
        </w:rPr>
        <w:t xml:space="preserve">The provision of data is necessary for participation in the tendering procedure. </w:t>
      </w:r>
    </w:p>
    <w:p w14:paraId="57294754" w14:textId="77777777" w:rsidR="00D51CD3" w:rsidRPr="00A56959" w:rsidRDefault="00D51CD3" w:rsidP="00D51CD3">
      <w:pPr>
        <w:pStyle w:val="Akapitzlist"/>
        <w:numPr>
          <w:ilvl w:val="1"/>
          <w:numId w:val="11"/>
        </w:numPr>
        <w:suppressAutoHyphens/>
        <w:autoSpaceDN w:val="0"/>
        <w:spacing w:after="120" w:line="240" w:lineRule="auto"/>
        <w:jc w:val="both"/>
        <w:textAlignment w:val="baseline"/>
        <w:rPr>
          <w:rFonts w:asciiTheme="minorHAnsi" w:eastAsia="Garamond" w:hAnsiTheme="minorHAnsi"/>
          <w:lang w:val="en-US"/>
        </w:rPr>
      </w:pPr>
      <w:r w:rsidRPr="00A56959">
        <w:rPr>
          <w:rFonts w:asciiTheme="minorHAnsi" w:eastAsia="Garamond" w:hAnsiTheme="minorHAnsi"/>
          <w:lang w:val="en-US"/>
        </w:rPr>
        <w:t>The Tenderer acknowledges that:</w:t>
      </w:r>
    </w:p>
    <w:p w14:paraId="65A236B5" w14:textId="77777777" w:rsidR="00D51CD3" w:rsidRPr="00A56959" w:rsidRDefault="00D51CD3" w:rsidP="00D51CD3">
      <w:pPr>
        <w:pStyle w:val="Akapitzlist"/>
        <w:numPr>
          <w:ilvl w:val="0"/>
          <w:numId w:val="9"/>
        </w:numPr>
        <w:suppressAutoHyphens/>
        <w:autoSpaceDN w:val="0"/>
        <w:spacing w:after="120" w:line="240" w:lineRule="auto"/>
        <w:jc w:val="both"/>
        <w:textAlignment w:val="baseline"/>
        <w:rPr>
          <w:rFonts w:cstheme="minorHAnsi"/>
          <w:lang w:val="en-US"/>
        </w:rPr>
      </w:pPr>
      <w:r w:rsidRPr="00A56959">
        <w:rPr>
          <w:rFonts w:asciiTheme="minorHAnsi" w:hAnsiTheme="minorHAnsi" w:cstheme="minorHAnsi"/>
          <w:lang w:val="en-US"/>
        </w:rPr>
        <w:t xml:space="preserve">The personal data included in the wording of the Tender, processed as part of the data set titled “2014-2020 Smart Growth Operational Program” are controlled by the minister relevant for regional development, with their seat at the Ministry of Investment and Development, at ul </w:t>
      </w:r>
      <w:proofErr w:type="spellStart"/>
      <w:r w:rsidRPr="00A56959">
        <w:rPr>
          <w:rFonts w:asciiTheme="minorHAnsi" w:hAnsiTheme="minorHAnsi" w:cstheme="minorHAnsi"/>
          <w:lang w:val="en-US"/>
        </w:rPr>
        <w:t>Wspólna</w:t>
      </w:r>
      <w:proofErr w:type="spellEnd"/>
      <w:r w:rsidRPr="00A56959">
        <w:rPr>
          <w:rFonts w:asciiTheme="minorHAnsi" w:hAnsiTheme="minorHAnsi" w:cstheme="minorHAnsi"/>
          <w:lang w:val="en-US"/>
        </w:rPr>
        <w:t xml:space="preserve"> 2/4, 00-926 Warsaw, acting in the capacity of the Smart Growth Operational Program’s Managing Institution. PFR Ventures acts to the order of the personal data Controller, pursuant to an agreement concluded with the Controller</w:t>
      </w:r>
      <w:r w:rsidRPr="00A56959">
        <w:rPr>
          <w:rFonts w:cstheme="minorHAnsi"/>
          <w:lang w:val="en-US"/>
        </w:rPr>
        <w:t>,</w:t>
      </w:r>
    </w:p>
    <w:p w14:paraId="1B19ABC0" w14:textId="77777777" w:rsidR="00D51CD3" w:rsidRPr="00A56959" w:rsidRDefault="00D51CD3" w:rsidP="00D51CD3">
      <w:pPr>
        <w:pStyle w:val="Akapitzlist"/>
        <w:numPr>
          <w:ilvl w:val="0"/>
          <w:numId w:val="9"/>
        </w:numPr>
        <w:suppressAutoHyphens/>
        <w:autoSpaceDN w:val="0"/>
        <w:spacing w:after="120" w:line="240" w:lineRule="auto"/>
        <w:jc w:val="both"/>
        <w:textAlignment w:val="baseline"/>
        <w:rPr>
          <w:rFonts w:cstheme="minorHAnsi"/>
          <w:lang w:val="en-US"/>
        </w:rPr>
      </w:pPr>
      <w:r w:rsidRPr="00A56959">
        <w:rPr>
          <w:rFonts w:cstheme="minorHAnsi"/>
          <w:lang w:val="en-US"/>
        </w:rPr>
        <w:lastRenderedPageBreak/>
        <w:t xml:space="preserve">the personal data are processed in accordance with personal data protection regulations, for the purpose of acquiring and selecting tenders for financial intermediaries of PFR Starter FIZ, </w:t>
      </w:r>
    </w:p>
    <w:p w14:paraId="42DEB11A" w14:textId="77777777" w:rsidR="00D51CD3" w:rsidRPr="00A56959" w:rsidRDefault="00D51CD3" w:rsidP="00D51CD3">
      <w:pPr>
        <w:pStyle w:val="Akapitzlist"/>
        <w:numPr>
          <w:ilvl w:val="0"/>
          <w:numId w:val="9"/>
        </w:numPr>
        <w:suppressAutoHyphens/>
        <w:autoSpaceDN w:val="0"/>
        <w:spacing w:after="120" w:line="240" w:lineRule="auto"/>
        <w:jc w:val="both"/>
        <w:textAlignment w:val="baseline"/>
        <w:rPr>
          <w:rFonts w:cstheme="minorHAnsi"/>
          <w:lang w:val="en-US"/>
        </w:rPr>
      </w:pPr>
      <w:r w:rsidRPr="00A56959">
        <w:rPr>
          <w:rFonts w:cstheme="minorHAnsi"/>
          <w:lang w:val="en-US"/>
        </w:rPr>
        <w:t>the scope of the data processed includes data presented in the Tender, i.e</w:t>
      </w:r>
      <w:r>
        <w:rPr>
          <w:rFonts w:cstheme="minorHAnsi"/>
          <w:lang w:val="en-US"/>
        </w:rPr>
        <w:t>.</w:t>
      </w:r>
      <w:r w:rsidRPr="00A56959">
        <w:rPr>
          <w:rFonts w:cstheme="minorHAnsi"/>
          <w:lang w:val="en-US"/>
        </w:rPr>
        <w:t xml:space="preserve">: first and last name, address, telephone number, e-mail, website address, information on business activity/company name, description of professional experience, etc., </w:t>
      </w:r>
    </w:p>
    <w:p w14:paraId="743D0FCE" w14:textId="77777777" w:rsidR="00D51CD3" w:rsidRPr="00A56959" w:rsidRDefault="00D51CD3" w:rsidP="00D51CD3">
      <w:pPr>
        <w:pStyle w:val="Akapitzlist"/>
        <w:numPr>
          <w:ilvl w:val="0"/>
          <w:numId w:val="9"/>
        </w:numPr>
        <w:suppressAutoHyphens/>
        <w:autoSpaceDN w:val="0"/>
        <w:spacing w:after="120" w:line="240" w:lineRule="auto"/>
        <w:jc w:val="both"/>
        <w:textAlignment w:val="baseline"/>
        <w:rPr>
          <w:rFonts w:cstheme="minorHAnsi"/>
          <w:lang w:val="en-US"/>
        </w:rPr>
      </w:pPr>
      <w:r w:rsidRPr="00A56959">
        <w:rPr>
          <w:rFonts w:asciiTheme="minorHAnsi" w:hAnsiTheme="minorHAnsi"/>
          <w:lang w:val="en-US"/>
        </w:rPr>
        <w:t xml:space="preserve">the expected recipient of the personal data is PFR Ventures Sp. z </w:t>
      </w:r>
      <w:proofErr w:type="spellStart"/>
      <w:r w:rsidRPr="00A56959">
        <w:rPr>
          <w:rFonts w:asciiTheme="minorHAnsi" w:hAnsiTheme="minorHAnsi"/>
          <w:lang w:val="en-US"/>
        </w:rPr>
        <w:t>o.o</w:t>
      </w:r>
      <w:proofErr w:type="spellEnd"/>
      <w:r w:rsidRPr="00A56959">
        <w:rPr>
          <w:rFonts w:asciiTheme="minorHAnsi" w:hAnsiTheme="minorHAnsi"/>
          <w:lang w:val="en-US"/>
        </w:rPr>
        <w:t xml:space="preserve">.; PFR Starter FIZ and entities authorized to control the activity of PFR Ventures Sp. z </w:t>
      </w:r>
      <w:proofErr w:type="spellStart"/>
      <w:r w:rsidRPr="00A56959">
        <w:rPr>
          <w:rFonts w:asciiTheme="minorHAnsi" w:hAnsiTheme="minorHAnsi"/>
          <w:lang w:val="en-US"/>
        </w:rPr>
        <w:t>o.o</w:t>
      </w:r>
      <w:proofErr w:type="spellEnd"/>
      <w:r w:rsidRPr="00A56959">
        <w:rPr>
          <w:rFonts w:asciiTheme="minorHAnsi" w:hAnsiTheme="minorHAnsi"/>
          <w:lang w:val="en-US"/>
        </w:rPr>
        <w:t xml:space="preserve">., in relation to the management of the closed-end non-public investment fund portfolio (in particular the Polish Financial Supervision Authority and PFR TFI SA); in relation to funding agreements under the 2014-2020 Smart Growth Operational Program (in particular the Ministry of Investment and Development and Bank </w:t>
      </w:r>
      <w:proofErr w:type="spellStart"/>
      <w:r w:rsidRPr="00A56959">
        <w:rPr>
          <w:rFonts w:asciiTheme="minorHAnsi" w:hAnsiTheme="minorHAnsi"/>
          <w:lang w:val="en-US"/>
        </w:rPr>
        <w:t>Gospodarstwa</w:t>
      </w:r>
      <w:proofErr w:type="spellEnd"/>
      <w:r w:rsidRPr="00A56959">
        <w:rPr>
          <w:rFonts w:asciiTheme="minorHAnsi" w:hAnsiTheme="minorHAnsi"/>
          <w:lang w:val="en-US"/>
        </w:rPr>
        <w:t xml:space="preserve"> </w:t>
      </w:r>
      <w:proofErr w:type="spellStart"/>
      <w:r w:rsidRPr="00A56959">
        <w:rPr>
          <w:rFonts w:asciiTheme="minorHAnsi" w:hAnsiTheme="minorHAnsi"/>
          <w:lang w:val="en-US"/>
        </w:rPr>
        <w:t>Krajowego</w:t>
      </w:r>
      <w:proofErr w:type="spellEnd"/>
      <w:r w:rsidRPr="00A56959">
        <w:rPr>
          <w:rFonts w:asciiTheme="minorHAnsi" w:hAnsiTheme="minorHAnsi"/>
          <w:lang w:val="en-US"/>
        </w:rPr>
        <w:t>), as well as other authorized entities, for purposes related to analyzing the Tender,</w:t>
      </w:r>
    </w:p>
    <w:p w14:paraId="6594381C" w14:textId="77777777" w:rsidR="00D51CD3" w:rsidRPr="00A56959" w:rsidRDefault="00D51CD3" w:rsidP="00D51CD3">
      <w:pPr>
        <w:pStyle w:val="Akapitzlist"/>
        <w:numPr>
          <w:ilvl w:val="0"/>
          <w:numId w:val="9"/>
        </w:numPr>
        <w:suppressAutoHyphens/>
        <w:autoSpaceDN w:val="0"/>
        <w:spacing w:after="120" w:line="240" w:lineRule="auto"/>
        <w:jc w:val="both"/>
        <w:textAlignment w:val="baseline"/>
        <w:rPr>
          <w:rFonts w:cstheme="minorHAnsi"/>
          <w:lang w:val="en-US"/>
        </w:rPr>
      </w:pPr>
      <w:r w:rsidRPr="00A56959">
        <w:rPr>
          <w:rFonts w:asciiTheme="minorHAnsi" w:hAnsiTheme="minorHAnsi"/>
          <w:lang w:val="en-US"/>
        </w:rPr>
        <w:t>I have the right to access, amend and supplement my data, and to object their processing, and have the right to lodge a complaint to the President of the Data Protection Office, if the processing thereof is performed in violation of GDPR</w:t>
      </w:r>
      <w:r>
        <w:rPr>
          <w:rFonts w:asciiTheme="minorHAnsi" w:hAnsiTheme="minorHAnsi"/>
          <w:lang w:val="en-US"/>
        </w:rPr>
        <w:t>,</w:t>
      </w:r>
    </w:p>
    <w:p w14:paraId="02398821" w14:textId="77777777" w:rsidR="00D51CD3" w:rsidRPr="00A56959" w:rsidRDefault="00D51CD3" w:rsidP="00D51CD3">
      <w:pPr>
        <w:pStyle w:val="Akapitzlist"/>
        <w:numPr>
          <w:ilvl w:val="0"/>
          <w:numId w:val="9"/>
        </w:numPr>
        <w:suppressAutoHyphens/>
        <w:autoSpaceDN w:val="0"/>
        <w:spacing w:after="160" w:line="240" w:lineRule="auto"/>
        <w:jc w:val="both"/>
        <w:textAlignment w:val="baseline"/>
        <w:rPr>
          <w:rFonts w:asciiTheme="minorHAnsi" w:hAnsiTheme="minorHAnsi" w:cstheme="minorHAnsi"/>
          <w:lang w:val="en-US"/>
        </w:rPr>
      </w:pPr>
      <w:r w:rsidRPr="00A56959">
        <w:rPr>
          <w:rFonts w:asciiTheme="minorHAnsi" w:hAnsiTheme="minorHAnsi" w:cstheme="minorHAnsi"/>
          <w:lang w:val="en-US"/>
        </w:rPr>
        <w:t>the personal data may be disclosed to other entities authorized pursuant to applicable legal regulations,</w:t>
      </w:r>
    </w:p>
    <w:p w14:paraId="74281A6C" w14:textId="77777777" w:rsidR="00D51CD3" w:rsidRPr="00A56959" w:rsidRDefault="00D51CD3" w:rsidP="00D51CD3">
      <w:pPr>
        <w:pStyle w:val="Akapitzlist"/>
        <w:numPr>
          <w:ilvl w:val="0"/>
          <w:numId w:val="9"/>
        </w:numPr>
        <w:suppressAutoHyphens/>
        <w:autoSpaceDN w:val="0"/>
        <w:spacing w:after="160" w:line="240" w:lineRule="auto"/>
        <w:jc w:val="both"/>
        <w:textAlignment w:val="baseline"/>
        <w:rPr>
          <w:rFonts w:asciiTheme="minorHAnsi" w:hAnsiTheme="minorHAnsi" w:cstheme="minorHAnsi"/>
          <w:lang w:val="en-US"/>
        </w:rPr>
      </w:pPr>
      <w:r w:rsidRPr="00A56959">
        <w:rPr>
          <w:rFonts w:asciiTheme="minorHAnsi" w:hAnsiTheme="minorHAnsi" w:cstheme="minorHAnsi"/>
          <w:lang w:val="en-US"/>
        </w:rPr>
        <w:t xml:space="preserve">the personal data included in the Tender will be processed over the term of the program, for archiving and control-related purposes; they may be stored over a period of time set forth in the regulations concerned with the provision of EU-funded financial </w:t>
      </w:r>
      <w:proofErr w:type="gramStart"/>
      <w:r w:rsidRPr="00A56959">
        <w:rPr>
          <w:rFonts w:asciiTheme="minorHAnsi" w:hAnsiTheme="minorHAnsi" w:cstheme="minorHAnsi"/>
          <w:lang w:val="en-US"/>
        </w:rPr>
        <w:t>support</w:t>
      </w:r>
      <w:proofErr w:type="gramEnd"/>
    </w:p>
    <w:p w14:paraId="418AA988" w14:textId="77777777" w:rsidR="00D51CD3" w:rsidRPr="00A56959" w:rsidRDefault="00D51CD3" w:rsidP="00D51CD3">
      <w:pPr>
        <w:pStyle w:val="Akapitzlist"/>
        <w:numPr>
          <w:ilvl w:val="0"/>
          <w:numId w:val="9"/>
        </w:numPr>
        <w:suppressAutoHyphens/>
        <w:autoSpaceDN w:val="0"/>
        <w:spacing w:after="160" w:line="240" w:lineRule="auto"/>
        <w:jc w:val="both"/>
        <w:textAlignment w:val="baseline"/>
        <w:rPr>
          <w:rFonts w:asciiTheme="minorHAnsi" w:hAnsiTheme="minorHAnsi" w:cstheme="minorHAnsi"/>
          <w:lang w:val="en-US"/>
        </w:rPr>
      </w:pPr>
      <w:r w:rsidRPr="00A56959">
        <w:rPr>
          <w:rFonts w:asciiTheme="minorHAnsi" w:hAnsiTheme="minorHAnsi" w:cstheme="minorHAnsi"/>
          <w:lang w:val="en-US"/>
        </w:rPr>
        <w:t xml:space="preserve">the personal data shall not be processed in an automated manner; including by </w:t>
      </w:r>
      <w:proofErr w:type="gramStart"/>
      <w:r w:rsidRPr="00A56959">
        <w:rPr>
          <w:rFonts w:asciiTheme="minorHAnsi" w:hAnsiTheme="minorHAnsi" w:cstheme="minorHAnsi"/>
          <w:lang w:val="en-US"/>
        </w:rPr>
        <w:t>profiling</w:t>
      </w:r>
      <w:proofErr w:type="gramEnd"/>
    </w:p>
    <w:p w14:paraId="7F96A064" w14:textId="77777777" w:rsidR="00D51CD3" w:rsidRPr="00A56959" w:rsidRDefault="00D51CD3" w:rsidP="00D51CD3">
      <w:pPr>
        <w:pStyle w:val="Akapitzlist"/>
        <w:numPr>
          <w:ilvl w:val="0"/>
          <w:numId w:val="9"/>
        </w:numPr>
        <w:suppressAutoHyphens/>
        <w:autoSpaceDN w:val="0"/>
        <w:spacing w:after="120" w:line="240" w:lineRule="auto"/>
        <w:jc w:val="both"/>
        <w:textAlignment w:val="baseline"/>
        <w:rPr>
          <w:rFonts w:cstheme="minorHAnsi"/>
          <w:lang w:val="en-US"/>
        </w:rPr>
      </w:pPr>
      <w:r w:rsidRPr="00A56959">
        <w:rPr>
          <w:rFonts w:asciiTheme="minorHAnsi" w:hAnsiTheme="minorHAnsi" w:cstheme="minorHAnsi"/>
          <w:lang w:val="en-US"/>
        </w:rPr>
        <w:t xml:space="preserve">The Tenderer may contact the Data Protection Officer appointed by the Controller, by sending an e-mail to: </w:t>
      </w:r>
      <w:r w:rsidR="00755961">
        <w:fldChar w:fldCharType="begin"/>
      </w:r>
      <w:r w:rsidR="00755961" w:rsidRPr="00755961">
        <w:rPr>
          <w:lang w:val="en-US"/>
        </w:rPr>
        <w:instrText xml:space="preserve"> HYPERLINK "mailto:iod@miir.gov.pl" </w:instrText>
      </w:r>
      <w:r w:rsidR="00755961">
        <w:fldChar w:fldCharType="separate"/>
      </w:r>
      <w:r w:rsidRPr="00A56959">
        <w:rPr>
          <w:rStyle w:val="Hipercze"/>
          <w:rFonts w:asciiTheme="minorHAnsi" w:hAnsiTheme="minorHAnsi" w:cstheme="minorHAnsi"/>
          <w:lang w:val="en-US"/>
        </w:rPr>
        <w:t>iod@miir.gov.pl</w:t>
      </w:r>
      <w:r w:rsidR="00755961">
        <w:rPr>
          <w:rStyle w:val="Hipercze"/>
          <w:rFonts w:asciiTheme="minorHAnsi" w:hAnsiTheme="minorHAnsi" w:cstheme="minorHAnsi"/>
          <w:lang w:val="en-US"/>
        </w:rPr>
        <w:fldChar w:fldCharType="end"/>
      </w:r>
      <w:r w:rsidRPr="00A56959">
        <w:rPr>
          <w:rFonts w:asciiTheme="minorHAnsi" w:hAnsiTheme="minorHAnsi" w:cstheme="minorHAnsi"/>
          <w:lang w:val="en-US"/>
        </w:rPr>
        <w:t>, or the data processor, at: kontakt@pfrventures.pl</w:t>
      </w:r>
    </w:p>
    <w:p w14:paraId="5094224D" w14:textId="77777777" w:rsidR="00D51CD3" w:rsidRPr="00A56959" w:rsidRDefault="00D51CD3" w:rsidP="00D51CD3">
      <w:pPr>
        <w:pStyle w:val="Akapitzlist"/>
        <w:numPr>
          <w:ilvl w:val="1"/>
          <w:numId w:val="12"/>
        </w:numPr>
        <w:suppressAutoHyphens/>
        <w:autoSpaceDN w:val="0"/>
        <w:spacing w:after="120" w:line="240" w:lineRule="auto"/>
        <w:jc w:val="both"/>
        <w:textAlignment w:val="baseline"/>
        <w:rPr>
          <w:rFonts w:cstheme="minorHAnsi"/>
          <w:lang w:val="en-US"/>
        </w:rPr>
      </w:pPr>
      <w:r w:rsidRPr="00A56959">
        <w:rPr>
          <w:rFonts w:cstheme="minorHAnsi"/>
          <w:lang w:val="en-US"/>
        </w:rPr>
        <w:t xml:space="preserve">The Tenderer represents that he has informed </w:t>
      </w:r>
      <w:proofErr w:type="gramStart"/>
      <w:r w:rsidRPr="00A56959">
        <w:rPr>
          <w:rFonts w:cstheme="minorHAnsi"/>
          <w:lang w:val="en-US"/>
        </w:rPr>
        <w:t>all natural</w:t>
      </w:r>
      <w:proofErr w:type="gramEnd"/>
      <w:r w:rsidRPr="00A56959">
        <w:rPr>
          <w:rFonts w:cstheme="minorHAnsi"/>
          <w:lang w:val="en-US"/>
        </w:rPr>
        <w:t xml:space="preserve"> persons whose personal data were included in the wording of the Tender about the fact that such data were included in the Tender, and the Tenderer has informed those persons about their rights, as provided for under item 8.2.</w:t>
      </w:r>
    </w:p>
    <w:p w14:paraId="5DF4B51E" w14:textId="77777777" w:rsidR="00D51CD3" w:rsidRPr="00A56959" w:rsidRDefault="00D51CD3" w:rsidP="00D51CD3">
      <w:pPr>
        <w:spacing w:after="120" w:line="240" w:lineRule="auto"/>
        <w:rPr>
          <w:rFonts w:cstheme="minorHAnsi"/>
          <w:lang w:val="en-US"/>
        </w:rPr>
      </w:pPr>
    </w:p>
    <w:tbl>
      <w:tblPr>
        <w:tblStyle w:val="Tabela-Siatka"/>
        <w:tblW w:w="0" w:type="auto"/>
        <w:tblInd w:w="421" w:type="dxa"/>
        <w:tblLook w:val="04A0" w:firstRow="1" w:lastRow="0" w:firstColumn="1" w:lastColumn="0" w:noHBand="0" w:noVBand="1"/>
      </w:tblPr>
      <w:tblGrid>
        <w:gridCol w:w="8641"/>
      </w:tblGrid>
      <w:tr w:rsidR="00D51CD3" w:rsidRPr="00755961" w14:paraId="6EA05EB5" w14:textId="77777777" w:rsidTr="00E83680">
        <w:tc>
          <w:tcPr>
            <w:tcW w:w="8641" w:type="dxa"/>
          </w:tcPr>
          <w:p w14:paraId="0FD5353D" w14:textId="77777777" w:rsidR="00D51CD3" w:rsidRPr="00A56959" w:rsidRDefault="00D51CD3" w:rsidP="00E83680">
            <w:pPr>
              <w:spacing w:after="120"/>
              <w:rPr>
                <w:rFonts w:cstheme="minorHAnsi"/>
                <w:sz w:val="22"/>
              </w:rPr>
            </w:pPr>
          </w:p>
          <w:p w14:paraId="016829E0" w14:textId="77777777" w:rsidR="00D51CD3" w:rsidRPr="00A56959" w:rsidRDefault="00D51CD3" w:rsidP="00E83680">
            <w:pPr>
              <w:spacing w:after="120"/>
              <w:jc w:val="center"/>
              <w:rPr>
                <w:rFonts w:cstheme="minorHAnsi"/>
                <w:sz w:val="22"/>
              </w:rPr>
            </w:pPr>
            <w:r w:rsidRPr="00A56959">
              <w:rPr>
                <w:rFonts w:cstheme="minorHAnsi"/>
                <w:sz w:val="22"/>
              </w:rPr>
              <w:t>__________________________________________________________________________</w:t>
            </w:r>
          </w:p>
          <w:p w14:paraId="141B1925" w14:textId="77777777" w:rsidR="00D51CD3" w:rsidRPr="00A56959" w:rsidRDefault="00D51CD3" w:rsidP="00E83680">
            <w:pPr>
              <w:spacing w:after="120"/>
              <w:jc w:val="center"/>
              <w:rPr>
                <w:rFonts w:cstheme="minorHAnsi"/>
                <w:sz w:val="22"/>
              </w:rPr>
            </w:pPr>
            <w:r w:rsidRPr="00A56959">
              <w:rPr>
                <w:rFonts w:cstheme="minorHAnsi"/>
                <w:sz w:val="22"/>
              </w:rPr>
              <w:t xml:space="preserve">Signature of the Tenderer / Signature of the person </w:t>
            </w:r>
            <w:proofErr w:type="spellStart"/>
            <w:r w:rsidRPr="00A56959">
              <w:rPr>
                <w:rFonts w:cstheme="minorHAnsi"/>
                <w:sz w:val="22"/>
              </w:rPr>
              <w:t>authorised</w:t>
            </w:r>
            <w:proofErr w:type="spellEnd"/>
            <w:r w:rsidRPr="00A56959">
              <w:rPr>
                <w:rFonts w:cstheme="minorHAnsi"/>
                <w:sz w:val="22"/>
              </w:rPr>
              <w:t xml:space="preserve"> to represent the Tenderer</w:t>
            </w:r>
          </w:p>
        </w:tc>
      </w:tr>
      <w:tr w:rsidR="00D51CD3" w:rsidRPr="00A56959" w14:paraId="19BACFC3" w14:textId="77777777" w:rsidTr="00E83680">
        <w:tc>
          <w:tcPr>
            <w:tcW w:w="8641" w:type="dxa"/>
          </w:tcPr>
          <w:p w14:paraId="195E28ED" w14:textId="77777777" w:rsidR="00D51CD3" w:rsidRPr="00A56959" w:rsidRDefault="00D51CD3" w:rsidP="00E83680">
            <w:pPr>
              <w:spacing w:after="120"/>
              <w:rPr>
                <w:rFonts w:cstheme="minorHAnsi"/>
                <w:sz w:val="22"/>
              </w:rPr>
            </w:pPr>
          </w:p>
          <w:p w14:paraId="4C54BBD4" w14:textId="77777777" w:rsidR="00D51CD3" w:rsidRPr="00A56959" w:rsidRDefault="00D51CD3" w:rsidP="00E83680">
            <w:pPr>
              <w:spacing w:after="120"/>
              <w:jc w:val="center"/>
              <w:rPr>
                <w:rFonts w:cstheme="minorHAnsi"/>
                <w:sz w:val="22"/>
              </w:rPr>
            </w:pPr>
            <w:r w:rsidRPr="00A56959">
              <w:rPr>
                <w:rFonts w:cstheme="minorHAnsi"/>
                <w:sz w:val="22"/>
              </w:rPr>
              <w:t>__________________________________________________________________________</w:t>
            </w:r>
          </w:p>
          <w:p w14:paraId="69B6828A" w14:textId="77777777" w:rsidR="00D51CD3" w:rsidRPr="00A56959" w:rsidRDefault="00D51CD3" w:rsidP="00E83680">
            <w:pPr>
              <w:spacing w:after="120"/>
              <w:jc w:val="center"/>
              <w:rPr>
                <w:rFonts w:cstheme="minorHAnsi"/>
                <w:sz w:val="22"/>
              </w:rPr>
            </w:pPr>
            <w:r w:rsidRPr="00A56959">
              <w:rPr>
                <w:rFonts w:cstheme="minorHAnsi"/>
                <w:sz w:val="22"/>
              </w:rPr>
              <w:t>Date, place</w:t>
            </w:r>
          </w:p>
        </w:tc>
      </w:tr>
    </w:tbl>
    <w:p w14:paraId="2EC12756" w14:textId="77777777" w:rsidR="00D51CD3" w:rsidRPr="00A56959" w:rsidRDefault="00D51CD3" w:rsidP="00D51CD3">
      <w:pPr>
        <w:spacing w:after="120" w:line="240" w:lineRule="auto"/>
        <w:rPr>
          <w:rFonts w:cstheme="minorHAnsi"/>
          <w:lang w:val="en-US"/>
        </w:rPr>
      </w:pPr>
    </w:p>
    <w:p w14:paraId="430ECA43" w14:textId="77777777" w:rsidR="00CA2E0D" w:rsidRPr="00D51CD3" w:rsidRDefault="00CA2E0D" w:rsidP="00D51CD3">
      <w:pPr>
        <w:rPr>
          <w:b/>
        </w:rPr>
      </w:pPr>
    </w:p>
    <w:sectPr w:rsidR="00CA2E0D" w:rsidRPr="00D51CD3" w:rsidSect="00CA2E0D">
      <w:headerReference w:type="default" r:id="rId8"/>
      <w:footerReference w:type="default" r:id="rId9"/>
      <w:pgSz w:w="11906" w:h="16838"/>
      <w:pgMar w:top="1417" w:right="1417" w:bottom="1417" w:left="141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F44A0" w14:textId="77777777" w:rsidR="00A7036E" w:rsidRDefault="00A7036E" w:rsidP="00557DC1">
      <w:pPr>
        <w:spacing w:after="0" w:line="240" w:lineRule="auto"/>
      </w:pPr>
      <w:r>
        <w:separator/>
      </w:r>
    </w:p>
  </w:endnote>
  <w:endnote w:type="continuationSeparator" w:id="0">
    <w:p w14:paraId="42C21116" w14:textId="77777777" w:rsidR="00A7036E" w:rsidRDefault="00A7036E" w:rsidP="00557DC1">
      <w:pPr>
        <w:spacing w:after="0" w:line="240" w:lineRule="auto"/>
      </w:pPr>
      <w:r>
        <w:continuationSeparator/>
      </w:r>
    </w:p>
  </w:endnote>
  <w:endnote w:type="continuationNotice" w:id="1">
    <w:p w14:paraId="34917145" w14:textId="77777777" w:rsidR="00A7036E" w:rsidRDefault="00A703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0265074"/>
      <w:docPartObj>
        <w:docPartGallery w:val="Page Numbers (Bottom of Page)"/>
        <w:docPartUnique/>
      </w:docPartObj>
    </w:sdtPr>
    <w:sdtEndPr/>
    <w:sdtContent>
      <w:p w14:paraId="43126A96" w14:textId="77777777" w:rsidR="00CA2E0D" w:rsidRDefault="003D3AB0">
        <w:pPr>
          <w:pStyle w:val="Stopka"/>
          <w:jc w:val="right"/>
        </w:pPr>
        <w:r w:rsidRPr="00D51CD3">
          <w:fldChar w:fldCharType="begin"/>
        </w:r>
        <w:r>
          <w:rPr>
            <w:noProof/>
          </w:rPr>
          <w:instrText>PAGE   \* MERGEFORMAT</w:instrText>
        </w:r>
        <w:r w:rsidRPr="00D51CD3">
          <w:fldChar w:fldCharType="separate"/>
        </w:r>
        <w:r w:rsidR="00741290">
          <w:rPr>
            <w:noProof/>
          </w:rPr>
          <w:t>6</w:t>
        </w:r>
        <w:r w:rsidRPr="00D51CD3">
          <w:fldChar w:fldCharType="end"/>
        </w:r>
      </w:p>
    </w:sdtContent>
  </w:sdt>
  <w:p w14:paraId="348FE2D8" w14:textId="776B2E33" w:rsidR="00CA2E0D" w:rsidRDefault="00CA2E0D">
    <w:pPr>
      <w:pStyle w:val="Stopka"/>
    </w:pPr>
    <w:r w:rsidRPr="00D51CD3">
      <w:t>W/</w:t>
    </w:r>
    <w:r w:rsidR="001C484D">
      <w:t>0</w:t>
    </w:r>
    <w:r w:rsidR="00755961">
      <w:t>3</w:t>
    </w:r>
    <w:r w:rsidR="00E14C8E">
      <w:t>/</w:t>
    </w:r>
    <w:r w:rsidR="001C484D">
      <w:t>202</w:t>
    </w:r>
    <w:r w:rsidR="00C53BEF">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232C6" w14:textId="77777777" w:rsidR="00A7036E" w:rsidRDefault="00A7036E" w:rsidP="00CA2E0D">
      <w:pPr>
        <w:spacing w:after="0" w:line="240" w:lineRule="auto"/>
      </w:pPr>
      <w:r>
        <w:separator/>
      </w:r>
    </w:p>
  </w:footnote>
  <w:footnote w:type="continuationSeparator" w:id="0">
    <w:p w14:paraId="6F727B4F" w14:textId="77777777" w:rsidR="00A7036E" w:rsidRDefault="00A7036E" w:rsidP="00CA2E0D">
      <w:pPr>
        <w:spacing w:after="0" w:line="240" w:lineRule="auto"/>
      </w:pPr>
      <w:r>
        <w:continuationSeparator/>
      </w:r>
    </w:p>
  </w:footnote>
  <w:footnote w:type="continuationNotice" w:id="1">
    <w:p w14:paraId="68E237C1" w14:textId="77777777" w:rsidR="00A7036E" w:rsidRDefault="00A7036E" w:rsidP="00CA2E0D">
      <w:pPr>
        <w:spacing w:after="0" w:line="240" w:lineRule="auto"/>
      </w:pPr>
    </w:p>
  </w:footnote>
  <w:footnote w:id="2">
    <w:p w14:paraId="25677313" w14:textId="77777777" w:rsidR="00CA2E0D" w:rsidRPr="004A1E29" w:rsidRDefault="00CA2E0D" w:rsidP="00CA2E0D">
      <w:pPr>
        <w:pStyle w:val="Tekstprzypisudolnego"/>
        <w:jc w:val="both"/>
        <w:rPr>
          <w:sz w:val="18"/>
          <w:szCs w:val="18"/>
          <w:lang w:val="en-US"/>
        </w:rPr>
      </w:pPr>
      <w:r w:rsidRPr="00D51CD3">
        <w:rPr>
          <w:rStyle w:val="Odwoanieprzypisudolnego"/>
          <w:sz w:val="18"/>
        </w:rPr>
        <w:footnoteRef/>
      </w:r>
      <w:r w:rsidRPr="00D51CD3">
        <w:rPr>
          <w:sz w:val="18"/>
          <w:lang w:val="en-GB"/>
        </w:rPr>
        <w:t>Where the Tenderer is a group of natural persons, please enter data of all the natural persons.</w:t>
      </w:r>
    </w:p>
  </w:footnote>
  <w:footnote w:id="3">
    <w:p w14:paraId="0CB66058" w14:textId="77777777" w:rsidR="00CA2E0D" w:rsidRPr="004A1E29" w:rsidRDefault="00CA2E0D" w:rsidP="00CA2E0D">
      <w:pPr>
        <w:pStyle w:val="Tekstprzypisudolnego"/>
        <w:ind w:left="142" w:hanging="142"/>
        <w:jc w:val="both"/>
        <w:rPr>
          <w:sz w:val="18"/>
          <w:szCs w:val="18"/>
          <w:lang w:val="en-US"/>
        </w:rPr>
      </w:pPr>
      <w:r w:rsidRPr="00D51CD3">
        <w:rPr>
          <w:rStyle w:val="Odwoanieprzypisudolnego"/>
          <w:sz w:val="18"/>
        </w:rPr>
        <w:footnoteRef/>
      </w:r>
      <w:r w:rsidRPr="00D51CD3">
        <w:rPr>
          <w:sz w:val="18"/>
          <w:lang w:val="en-GB"/>
        </w:rPr>
        <w:t xml:space="preserve"> Where the Tenderer is a natural person, this item should be deleted; not to be filled out by entities under formation; please specify all the registers and records in which the Tenderer is entered, if this is a sine qua non requirement for the Tenderer to run its business (National Court Register, Alternative Investment Company (AIC) register kept by the Polish Financial Supervision Authority).</w:t>
      </w:r>
    </w:p>
  </w:footnote>
  <w:footnote w:id="4">
    <w:p w14:paraId="4B9ACB89" w14:textId="77777777" w:rsidR="00CA2E0D" w:rsidRPr="004A1E29" w:rsidRDefault="00CA2E0D" w:rsidP="00CA2E0D">
      <w:pPr>
        <w:pStyle w:val="Tekstprzypisudolnego"/>
        <w:jc w:val="both"/>
        <w:rPr>
          <w:sz w:val="18"/>
          <w:szCs w:val="18"/>
          <w:lang w:val="en-US"/>
        </w:rPr>
      </w:pPr>
      <w:r w:rsidRPr="00D51CD3">
        <w:rPr>
          <w:rStyle w:val="Odwoanieprzypisudolnego"/>
          <w:sz w:val="18"/>
        </w:rPr>
        <w:footnoteRef/>
      </w:r>
      <w:r w:rsidRPr="00D51CD3">
        <w:rPr>
          <w:sz w:val="18"/>
          <w:lang w:val="en-GB"/>
        </w:rPr>
        <w:t xml:space="preserve"> Applicable to a Tenderer other than a natural person; not to be filled in by entities under formation.</w:t>
      </w:r>
    </w:p>
  </w:footnote>
  <w:footnote w:id="5">
    <w:p w14:paraId="0C7F301F" w14:textId="77777777" w:rsidR="00CA2E0D" w:rsidRPr="004A1E29" w:rsidRDefault="00CA2E0D" w:rsidP="00CA2E0D">
      <w:pPr>
        <w:pStyle w:val="Tekstprzypisudolnego"/>
        <w:jc w:val="both"/>
        <w:rPr>
          <w:sz w:val="18"/>
          <w:szCs w:val="18"/>
          <w:lang w:val="en-US"/>
        </w:rPr>
      </w:pPr>
      <w:r w:rsidRPr="00D51CD3">
        <w:rPr>
          <w:rStyle w:val="Odwoanieprzypisudolnego"/>
          <w:sz w:val="18"/>
        </w:rPr>
        <w:footnoteRef/>
      </w:r>
      <w:r w:rsidRPr="00D51CD3">
        <w:rPr>
          <w:sz w:val="18"/>
          <w:lang w:val="en-GB"/>
        </w:rPr>
        <w:t xml:space="preserve"> Applicable to a Tenderer being a natural person.</w:t>
      </w:r>
    </w:p>
  </w:footnote>
  <w:footnote w:id="6">
    <w:p w14:paraId="0665D794" w14:textId="77777777" w:rsidR="00CA2E0D" w:rsidRPr="004A1E29" w:rsidRDefault="00CA2E0D" w:rsidP="00CA2E0D">
      <w:pPr>
        <w:pStyle w:val="Tekstprzypisudolnego"/>
        <w:ind w:left="142" w:hanging="142"/>
        <w:jc w:val="both"/>
        <w:rPr>
          <w:sz w:val="18"/>
          <w:szCs w:val="18"/>
          <w:lang w:val="en-US"/>
        </w:rPr>
      </w:pPr>
      <w:r w:rsidRPr="00D51CD3">
        <w:rPr>
          <w:rStyle w:val="Odwoanieprzypisudolnego"/>
          <w:sz w:val="18"/>
        </w:rPr>
        <w:footnoteRef/>
      </w:r>
      <w:r w:rsidRPr="00D51CD3">
        <w:rPr>
          <w:sz w:val="18"/>
          <w:lang w:val="en-GB"/>
        </w:rPr>
        <w:t xml:space="preserve"> Where the Tenderer is a group of natural persons, the statement should be signed separately by each natural person.</w:t>
      </w:r>
    </w:p>
  </w:footnote>
  <w:footnote w:id="7">
    <w:p w14:paraId="0C0BF2BB" w14:textId="77777777" w:rsidR="00CA2E0D" w:rsidRPr="004A1E29" w:rsidRDefault="00CA2E0D" w:rsidP="00CA2E0D">
      <w:pPr>
        <w:pStyle w:val="Tekstprzypisudolnego"/>
        <w:jc w:val="both"/>
        <w:rPr>
          <w:sz w:val="18"/>
          <w:szCs w:val="18"/>
          <w:lang w:val="en-US"/>
        </w:rPr>
      </w:pPr>
      <w:r w:rsidRPr="00D51CD3">
        <w:rPr>
          <w:rStyle w:val="Odwoanieprzypisudolnego"/>
          <w:sz w:val="18"/>
        </w:rPr>
        <w:footnoteRef/>
      </w:r>
      <w:r w:rsidRPr="00D51CD3">
        <w:rPr>
          <w:sz w:val="18"/>
          <w:lang w:val="en-GB"/>
        </w:rPr>
        <w:t xml:space="preserve"> Where the Tenderer is a natural person, this item should be deleted; a legal person is to mark the relevant option.</w:t>
      </w:r>
    </w:p>
  </w:footnote>
  <w:footnote w:id="8">
    <w:p w14:paraId="416B989F" w14:textId="77777777" w:rsidR="00CA2E0D" w:rsidRPr="004A1E29" w:rsidRDefault="00CA2E0D" w:rsidP="00CA2E0D">
      <w:pPr>
        <w:pStyle w:val="Tekstprzypisudolnego"/>
        <w:ind w:left="142" w:hanging="142"/>
        <w:jc w:val="both"/>
        <w:rPr>
          <w:sz w:val="18"/>
          <w:szCs w:val="18"/>
          <w:lang w:val="en-US"/>
        </w:rPr>
      </w:pPr>
      <w:r w:rsidRPr="00D51CD3">
        <w:rPr>
          <w:rStyle w:val="Odwoanieprzypisudolnego"/>
          <w:sz w:val="18"/>
        </w:rPr>
        <w:footnoteRef/>
      </w:r>
      <w:r w:rsidRPr="00D51CD3">
        <w:rPr>
          <w:sz w:val="18"/>
          <w:lang w:val="en-GB"/>
        </w:rPr>
        <w:t xml:space="preserve"> Please state the place of registration and business of the Tenderer. Where the Tenderer is a natural person, this item should be deleted.</w:t>
      </w:r>
    </w:p>
  </w:footnote>
  <w:footnote w:id="9">
    <w:p w14:paraId="57CAD770" w14:textId="77777777" w:rsidR="00CA2E0D" w:rsidRPr="004A1E29" w:rsidRDefault="00CA2E0D" w:rsidP="00CA2E0D">
      <w:pPr>
        <w:pStyle w:val="Tekstprzypisudolnego"/>
        <w:jc w:val="both"/>
        <w:rPr>
          <w:lang w:val="en-US"/>
        </w:rPr>
      </w:pPr>
      <w:r w:rsidRPr="00D51CD3">
        <w:rPr>
          <w:rStyle w:val="Odwoanieprzypisudolnego"/>
          <w:sz w:val="18"/>
        </w:rPr>
        <w:footnoteRef/>
      </w:r>
      <w:r w:rsidRPr="00D51CD3">
        <w:rPr>
          <w:lang w:val="en-GB"/>
        </w:rPr>
        <w:t xml:space="preserve"> </w:t>
      </w:r>
      <w:r w:rsidRPr="00D51CD3">
        <w:rPr>
          <w:sz w:val="18"/>
          <w:lang w:val="en-GB"/>
        </w:rPr>
        <w:t>Delete as appropriate.</w:t>
      </w:r>
    </w:p>
  </w:footnote>
  <w:footnote w:id="10">
    <w:p w14:paraId="1BB7CF10" w14:textId="77777777" w:rsidR="00CA2E0D" w:rsidRPr="004A1E29" w:rsidRDefault="00CA2E0D" w:rsidP="00CA2E0D">
      <w:pPr>
        <w:pStyle w:val="Tekstprzypisudolnego"/>
        <w:ind w:left="142" w:hanging="142"/>
        <w:jc w:val="both"/>
        <w:rPr>
          <w:sz w:val="18"/>
          <w:szCs w:val="18"/>
          <w:lang w:val="en-US"/>
        </w:rPr>
      </w:pPr>
      <w:r w:rsidRPr="00D51CD3">
        <w:rPr>
          <w:rStyle w:val="Odwoanieprzypisudolnego"/>
          <w:sz w:val="18"/>
        </w:rPr>
        <w:footnoteRef/>
      </w:r>
      <w:r w:rsidRPr="00D51CD3">
        <w:rPr>
          <w:sz w:val="18"/>
          <w:lang w:val="en-GB"/>
        </w:rPr>
        <w:t xml:space="preserve"> Please enter here any required consent, approval, </w:t>
      </w:r>
      <w:proofErr w:type="gramStart"/>
      <w:r w:rsidRPr="00D51CD3">
        <w:rPr>
          <w:sz w:val="18"/>
          <w:lang w:val="en-GB"/>
        </w:rPr>
        <w:t>notification</w:t>
      </w:r>
      <w:proofErr w:type="gramEnd"/>
      <w:r w:rsidRPr="00D51CD3">
        <w:rPr>
          <w:sz w:val="18"/>
          <w:lang w:val="en-GB"/>
        </w:rPr>
        <w:t xml:space="preserve"> or registration (each referred to hereinafter as "</w:t>
      </w:r>
      <w:r w:rsidRPr="00D51CD3">
        <w:rPr>
          <w:b/>
          <w:sz w:val="18"/>
          <w:lang w:val="en-GB"/>
        </w:rPr>
        <w:t>Consent</w:t>
      </w:r>
      <w:r w:rsidRPr="00D51CD3">
        <w:rPr>
          <w:sz w:val="18"/>
          <w:lang w:val="en-GB"/>
        </w:rPr>
        <w:t>”), stating: (1) the entity providing such Consent, (2) the date of the Consent and (3) the basis for the obligation to obtain a consent (corporate document, agreement, etc.).</w:t>
      </w:r>
    </w:p>
  </w:footnote>
  <w:footnote w:id="11">
    <w:p w14:paraId="758F5773" w14:textId="77777777" w:rsidR="00CA2E0D" w:rsidRPr="004A1E29" w:rsidRDefault="00CA2E0D" w:rsidP="00CA2E0D">
      <w:pPr>
        <w:pStyle w:val="Tekstprzypisudolnego"/>
        <w:jc w:val="both"/>
        <w:rPr>
          <w:sz w:val="18"/>
          <w:szCs w:val="18"/>
          <w:lang w:val="en-US"/>
        </w:rPr>
      </w:pPr>
      <w:r w:rsidRPr="00D51CD3">
        <w:rPr>
          <w:rStyle w:val="Odwoanieprzypisudolnego"/>
          <w:sz w:val="18"/>
        </w:rPr>
        <w:footnoteRef/>
      </w:r>
      <w:r w:rsidRPr="00D51CD3">
        <w:rPr>
          <w:sz w:val="18"/>
          <w:lang w:val="en-GB"/>
        </w:rPr>
        <w:t xml:space="preserve"> Where the Tenderer is a natural person, this item should be deleted.</w:t>
      </w:r>
    </w:p>
  </w:footnote>
  <w:footnote w:id="12">
    <w:p w14:paraId="171AD14A" w14:textId="77777777" w:rsidR="00CA2E0D" w:rsidRPr="004A1E29" w:rsidRDefault="00CA2E0D" w:rsidP="00CA2E0D">
      <w:pPr>
        <w:pStyle w:val="Tekstprzypisudolnego"/>
        <w:jc w:val="both"/>
        <w:rPr>
          <w:sz w:val="18"/>
          <w:szCs w:val="18"/>
          <w:lang w:val="en-US"/>
        </w:rPr>
      </w:pPr>
      <w:r w:rsidRPr="00D51CD3">
        <w:rPr>
          <w:rStyle w:val="Odwoanieprzypisudolnego"/>
          <w:sz w:val="18"/>
        </w:rPr>
        <w:footnoteRef/>
      </w:r>
      <w:r w:rsidRPr="00D51CD3">
        <w:rPr>
          <w:sz w:val="18"/>
          <w:lang w:val="en-GB"/>
        </w:rPr>
        <w:t xml:space="preserve"> Where the Tenderer is a natural person, this item should be deleted.</w:t>
      </w:r>
    </w:p>
  </w:footnote>
  <w:footnote w:id="13">
    <w:p w14:paraId="7ADBB6C2" w14:textId="77777777" w:rsidR="00CA2E0D" w:rsidRPr="004A1E29" w:rsidRDefault="00CA2E0D" w:rsidP="00CA2E0D">
      <w:pPr>
        <w:pStyle w:val="Tekstprzypisudolnego"/>
        <w:jc w:val="both"/>
        <w:rPr>
          <w:sz w:val="18"/>
          <w:szCs w:val="18"/>
          <w:lang w:val="en-US"/>
        </w:rPr>
      </w:pPr>
      <w:r w:rsidRPr="00D51CD3">
        <w:rPr>
          <w:rStyle w:val="Odwoanieprzypisudolnego"/>
          <w:sz w:val="18"/>
        </w:rPr>
        <w:footnoteRef/>
      </w:r>
      <w:r w:rsidRPr="00D51CD3">
        <w:rPr>
          <w:sz w:val="18"/>
          <w:lang w:val="en-GB"/>
        </w:rPr>
        <w:t xml:space="preserve"> The option “</w:t>
      </w:r>
      <w:r w:rsidRPr="00D51CD3">
        <w:rPr>
          <w:b/>
          <w:sz w:val="18"/>
          <w:lang w:val="en-GB"/>
        </w:rPr>
        <w:t>will not be subject to</w:t>
      </w:r>
      <w:r w:rsidRPr="00D51CD3">
        <w:rPr>
          <w:sz w:val="18"/>
          <w:lang w:val="en-GB"/>
        </w:rPr>
        <w:t>” applies to a situation where the Financial Intermediary has not yet been established. Delete as appropriate.</w:t>
      </w:r>
    </w:p>
  </w:footnote>
  <w:footnote w:id="14">
    <w:p w14:paraId="59FF1721" w14:textId="77777777" w:rsidR="00CA2E0D" w:rsidRPr="004A1E29" w:rsidRDefault="00CA2E0D" w:rsidP="00CA2E0D">
      <w:pPr>
        <w:pStyle w:val="Tekstprzypisudolnego"/>
        <w:rPr>
          <w:sz w:val="18"/>
          <w:szCs w:val="18"/>
          <w:lang w:val="en-US"/>
        </w:rPr>
      </w:pPr>
      <w:r w:rsidRPr="00D51CD3">
        <w:rPr>
          <w:rStyle w:val="Odwoanieprzypisudolnego"/>
          <w:sz w:val="18"/>
        </w:rPr>
        <w:footnoteRef/>
      </w:r>
      <w:r w:rsidRPr="00D51CD3">
        <w:rPr>
          <w:sz w:val="18"/>
          <w:lang w:val="en-GB"/>
        </w:rPr>
        <w:t xml:space="preserve"> The option “</w:t>
      </w:r>
      <w:r w:rsidRPr="00D51CD3">
        <w:rPr>
          <w:b/>
          <w:sz w:val="18"/>
          <w:lang w:val="en-GB"/>
        </w:rPr>
        <w:t>will meet</w:t>
      </w:r>
      <w:r w:rsidRPr="00D51CD3">
        <w:rPr>
          <w:sz w:val="18"/>
          <w:lang w:val="en-GB"/>
        </w:rPr>
        <w:t>” applies to a situation where the Financial Intermediary has not yet been established. Delete as appropriate.</w:t>
      </w:r>
    </w:p>
  </w:footnote>
  <w:footnote w:id="15">
    <w:p w14:paraId="2A272122" w14:textId="77777777" w:rsidR="00CA2E0D" w:rsidRPr="004A1E29" w:rsidRDefault="00CA2E0D" w:rsidP="00CA2E0D">
      <w:pPr>
        <w:pStyle w:val="Tekstprzypisudolnego"/>
        <w:jc w:val="both"/>
        <w:rPr>
          <w:sz w:val="18"/>
          <w:szCs w:val="18"/>
          <w:lang w:val="en-US"/>
        </w:rPr>
      </w:pPr>
      <w:r w:rsidRPr="00D51CD3">
        <w:rPr>
          <w:rStyle w:val="Odwoanieprzypisudolnego"/>
          <w:sz w:val="18"/>
        </w:rPr>
        <w:footnoteRef/>
      </w:r>
      <w:r w:rsidRPr="00D51CD3">
        <w:rPr>
          <w:sz w:val="18"/>
          <w:lang w:val="en-GB"/>
        </w:rPr>
        <w:t>The option “</w:t>
      </w:r>
      <w:r w:rsidRPr="00D51CD3">
        <w:rPr>
          <w:b/>
          <w:sz w:val="18"/>
          <w:lang w:val="en-GB"/>
        </w:rPr>
        <w:t>will be</w:t>
      </w:r>
      <w:r w:rsidRPr="00D51CD3">
        <w:rPr>
          <w:sz w:val="18"/>
          <w:lang w:val="en-GB"/>
        </w:rPr>
        <w:t>” applies to a situation where the Financial Intermediary has not yet been established. Delete as appropriate.</w:t>
      </w:r>
    </w:p>
  </w:footnote>
  <w:footnote w:id="16">
    <w:p w14:paraId="3A2EEE84" w14:textId="77777777" w:rsidR="00CA2E0D" w:rsidRPr="004A1E29" w:rsidRDefault="00CA2E0D" w:rsidP="00CA2E0D">
      <w:pPr>
        <w:pStyle w:val="Tekstprzypisudolnego"/>
        <w:ind w:left="142" w:hanging="142"/>
        <w:jc w:val="both"/>
        <w:rPr>
          <w:sz w:val="18"/>
          <w:szCs w:val="18"/>
          <w:lang w:val="en-US"/>
        </w:rPr>
      </w:pPr>
      <w:r w:rsidRPr="00D51CD3">
        <w:rPr>
          <w:rStyle w:val="Odwoanieprzypisudolnego"/>
          <w:sz w:val="18"/>
        </w:rPr>
        <w:footnoteRef/>
      </w:r>
      <w:r w:rsidRPr="00D51CD3">
        <w:rPr>
          <w:sz w:val="18"/>
          <w:lang w:val="en-GB"/>
        </w:rPr>
        <w:t xml:space="preserve"> The option “</w:t>
      </w:r>
      <w:r w:rsidRPr="00D51CD3">
        <w:rPr>
          <w:b/>
          <w:sz w:val="18"/>
          <w:lang w:val="en-GB"/>
        </w:rPr>
        <w:t>will not include</w:t>
      </w:r>
      <w:r w:rsidRPr="00D51CD3">
        <w:rPr>
          <w:sz w:val="18"/>
          <w:lang w:val="en-GB"/>
        </w:rPr>
        <w:t>” applies to a situation where the Financial Intermediary has not yet been established. Delete as appropriate.</w:t>
      </w:r>
    </w:p>
  </w:footnote>
  <w:footnote w:id="17">
    <w:p w14:paraId="35811DA3" w14:textId="77777777" w:rsidR="00CA2E0D" w:rsidRPr="004A1E29" w:rsidRDefault="00CA2E0D" w:rsidP="00CA2E0D">
      <w:pPr>
        <w:pStyle w:val="Tekstprzypisudolnego"/>
        <w:jc w:val="both"/>
        <w:rPr>
          <w:sz w:val="18"/>
          <w:szCs w:val="18"/>
          <w:lang w:val="en-US"/>
        </w:rPr>
      </w:pPr>
      <w:r w:rsidRPr="00D51CD3">
        <w:rPr>
          <w:rStyle w:val="Odwoanieprzypisudolnego"/>
          <w:sz w:val="18"/>
        </w:rPr>
        <w:footnoteRef/>
      </w:r>
      <w:r w:rsidRPr="00D51CD3">
        <w:rPr>
          <w:sz w:val="18"/>
          <w:lang w:val="en-GB"/>
        </w:rPr>
        <w:t xml:space="preserve"> The option “</w:t>
      </w:r>
      <w:r w:rsidRPr="00D51CD3">
        <w:rPr>
          <w:b/>
          <w:sz w:val="18"/>
          <w:lang w:val="en-GB"/>
        </w:rPr>
        <w:t>will comply</w:t>
      </w:r>
      <w:r w:rsidRPr="00D51CD3">
        <w:rPr>
          <w:sz w:val="18"/>
          <w:lang w:val="en-GB"/>
        </w:rPr>
        <w:t>” applies to a situation where the Financial Intermediary has not yet been established. Delete as appropriate.</w:t>
      </w:r>
    </w:p>
  </w:footnote>
  <w:footnote w:id="18">
    <w:p w14:paraId="355ACE55" w14:textId="77777777" w:rsidR="00CA2E0D" w:rsidRPr="004A1E29" w:rsidRDefault="00CA2E0D" w:rsidP="00CA2E0D">
      <w:pPr>
        <w:pStyle w:val="Tekstprzypisudolnego"/>
        <w:jc w:val="both"/>
        <w:rPr>
          <w:lang w:val="en-US"/>
        </w:rPr>
      </w:pPr>
      <w:r w:rsidRPr="00D51CD3">
        <w:rPr>
          <w:rStyle w:val="Odwoanieprzypisudolnego"/>
        </w:rPr>
        <w:footnoteRef/>
      </w:r>
      <w:r w:rsidRPr="00D51CD3">
        <w:rPr>
          <w:lang w:val="en-GB"/>
        </w:rPr>
        <w:t xml:space="preserve"> The option “will comply” applies to a situation where the Financial Intermediary has not yet been established. Delete as appropriate.</w:t>
      </w:r>
    </w:p>
  </w:footnote>
  <w:footnote w:id="19">
    <w:p w14:paraId="77AA5DBB" w14:textId="77777777" w:rsidR="00CA2E0D" w:rsidRPr="004A1E29" w:rsidRDefault="00CA2E0D" w:rsidP="00CA2E0D">
      <w:pPr>
        <w:pStyle w:val="Tekstprzypisudolnego"/>
        <w:jc w:val="both"/>
        <w:rPr>
          <w:sz w:val="18"/>
          <w:szCs w:val="18"/>
          <w:lang w:val="en-US"/>
        </w:rPr>
      </w:pPr>
      <w:r w:rsidRPr="00D51CD3">
        <w:rPr>
          <w:rStyle w:val="Odwoanieprzypisudolnego"/>
          <w:sz w:val="18"/>
        </w:rPr>
        <w:footnoteRef/>
      </w:r>
      <w:r w:rsidRPr="00D51CD3">
        <w:rPr>
          <w:sz w:val="18"/>
          <w:lang w:val="en-GB"/>
        </w:rPr>
        <w:t xml:space="preserve"> Please indicate which eligible expenditure the aid has been granted for. In the case state aid does not distinguish eligible expenditure (</w:t>
      </w:r>
      <w:proofErr w:type="gramStart"/>
      <w:r w:rsidRPr="00D51CD3">
        <w:rPr>
          <w:sz w:val="18"/>
          <w:lang w:val="en-GB"/>
        </w:rPr>
        <w:t>e.g.</w:t>
      </w:r>
      <w:proofErr w:type="gramEnd"/>
      <w:r w:rsidRPr="00D51CD3">
        <w:rPr>
          <w:sz w:val="18"/>
          <w:lang w:val="en-GB"/>
        </w:rPr>
        <w:t xml:space="preserve"> de minimis aid), please indicate the project implemented with state aid funds. </w:t>
      </w:r>
    </w:p>
  </w:footnote>
  <w:footnote w:id="20">
    <w:p w14:paraId="5DDABA61" w14:textId="77777777" w:rsidR="00D51CD3" w:rsidRPr="000E1BAB" w:rsidRDefault="00D51CD3" w:rsidP="00D51CD3">
      <w:pPr>
        <w:pStyle w:val="Tekstprzypisudolnego"/>
        <w:rPr>
          <w:sz w:val="18"/>
          <w:szCs w:val="18"/>
          <w:lang w:val="en-GB"/>
        </w:rPr>
      </w:pPr>
      <w:r>
        <w:rPr>
          <w:rStyle w:val="Odwoanieprzypisudolnego"/>
          <w:sz w:val="18"/>
          <w:szCs w:val="18"/>
          <w:lang w:val="en"/>
        </w:rPr>
        <w:footnoteRef/>
      </w:r>
      <w:r>
        <w:rPr>
          <w:sz w:val="18"/>
          <w:szCs w:val="18"/>
          <w:lang w:val="en"/>
        </w:rPr>
        <w:t xml:space="preserve"> Not applicable to a Tenderer being a natural person.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581BE" w14:textId="77777777" w:rsidR="00CA2E0D" w:rsidRPr="00A41D6D" w:rsidRDefault="000E1BAB" w:rsidP="00CA2E0D">
    <w:pPr>
      <w:pStyle w:val="Nagwek"/>
    </w:pPr>
    <w:r>
      <w:rPr>
        <w:noProof/>
      </w:rPr>
      <w:drawing>
        <wp:inline distT="0" distB="0" distL="0" distR="0" wp14:anchorId="07462520" wp14:editId="290AFBB7">
          <wp:extent cx="5760720" cy="426085"/>
          <wp:effectExtent l="0" t="0" r="0" b="0"/>
          <wp:docPr id="2" name="Obraz 1">
            <a:extLst xmlns:a="http://schemas.openxmlformats.org/drawingml/2006/main">
              <a:ext uri="{FF2B5EF4-FFF2-40B4-BE49-F238E27FC236}">
                <a16:creationId xmlns:a16="http://schemas.microsoft.com/office/drawing/2014/main" id="{8884F491-8FCB-4940-8343-94DFCF4E21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a:extLst>
                      <a:ext uri="{FF2B5EF4-FFF2-40B4-BE49-F238E27FC236}">
                        <a16:creationId xmlns:a16="http://schemas.microsoft.com/office/drawing/2014/main" id="{8884F491-8FCB-4940-8343-94DFCF4E2163}"/>
                      </a:ext>
                    </a:extLst>
                  </pic:cNvPr>
                  <pic:cNvPicPr>
                    <a:picLocks noChangeAspect="1"/>
                  </pic:cNvPicPr>
                </pic:nvPicPr>
                <pic:blipFill>
                  <a:blip r:embed="rId1"/>
                  <a:stretch>
                    <a:fillRect/>
                  </a:stretch>
                </pic:blipFill>
                <pic:spPr>
                  <a:xfrm>
                    <a:off x="0" y="0"/>
                    <a:ext cx="5760720" cy="4260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76DAA"/>
    <w:multiLevelType w:val="multilevel"/>
    <w:tmpl w:val="772AE648"/>
    <w:lvl w:ilvl="0">
      <w:start w:val="1"/>
      <w:numFmt w:val="decimal"/>
      <w:lvlText w:val="%1."/>
      <w:lvlJc w:val="left"/>
      <w:pPr>
        <w:ind w:left="360" w:hanging="360"/>
      </w:pPr>
      <w:rPr>
        <w:b/>
      </w:rPr>
    </w:lvl>
    <w:lvl w:ilvl="1">
      <w:start w:val="1"/>
      <w:numFmt w:val="decimal"/>
      <w:lvlText w:val="%1.%2."/>
      <w:lvlJc w:val="left"/>
      <w:pPr>
        <w:ind w:left="720" w:hanging="360"/>
      </w:pPr>
      <w:rPr>
        <w:b w:val="0"/>
      </w:rPr>
    </w:lvl>
    <w:lvl w:ilvl="2">
      <w:start w:val="1"/>
      <w:numFmt w:val="lowerLetter"/>
      <w:lvlText w:val="%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B446C57"/>
    <w:multiLevelType w:val="multilevel"/>
    <w:tmpl w:val="489CE22C"/>
    <w:lvl w:ilvl="0">
      <w:start w:val="1"/>
      <w:numFmt w:val="decimal"/>
      <w:lvlText w:val="%1."/>
      <w:lvlJc w:val="left"/>
      <w:pPr>
        <w:ind w:left="360" w:hanging="360"/>
      </w:pPr>
      <w:rPr>
        <w:b/>
      </w:rPr>
    </w:lvl>
    <w:lvl w:ilvl="1">
      <w:start w:val="1"/>
      <w:numFmt w:val="lowerLetter"/>
      <w:lvlText w:val="%2)"/>
      <w:lvlJc w:val="left"/>
      <w:pPr>
        <w:ind w:left="720" w:hanging="360"/>
      </w:pPr>
      <w:rPr>
        <w:b w:val="0"/>
      </w:rPr>
    </w:lvl>
    <w:lvl w:ilvl="2">
      <w:start w:val="1"/>
      <w:numFmt w:val="lowerLetter"/>
      <w:lvlText w:val="%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117C7695"/>
    <w:multiLevelType w:val="multilevel"/>
    <w:tmpl w:val="C8AAA42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2601383"/>
    <w:multiLevelType w:val="hybridMultilevel"/>
    <w:tmpl w:val="278A63EE"/>
    <w:lvl w:ilvl="0" w:tplc="FE3E266A">
      <w:start w:val="1"/>
      <w:numFmt w:val="upperLetter"/>
      <w:lvlText w:val="%1)"/>
      <w:lvlJc w:val="left"/>
      <w:pPr>
        <w:ind w:left="1069" w:hanging="360"/>
      </w:pPr>
      <w:rPr>
        <w:rFonts w:hint="default"/>
      </w:rPr>
    </w:lvl>
    <w:lvl w:ilvl="1" w:tplc="3DB6D6B0" w:tentative="1">
      <w:start w:val="1"/>
      <w:numFmt w:val="lowerLetter"/>
      <w:lvlText w:val="%2."/>
      <w:lvlJc w:val="left"/>
      <w:pPr>
        <w:ind w:left="1789" w:hanging="360"/>
      </w:pPr>
    </w:lvl>
    <w:lvl w:ilvl="2" w:tplc="D0F03DD8" w:tentative="1">
      <w:start w:val="1"/>
      <w:numFmt w:val="lowerRoman"/>
      <w:lvlText w:val="%3."/>
      <w:lvlJc w:val="right"/>
      <w:pPr>
        <w:ind w:left="2509" w:hanging="180"/>
      </w:pPr>
    </w:lvl>
    <w:lvl w:ilvl="3" w:tplc="1C3EE4A2" w:tentative="1">
      <w:start w:val="1"/>
      <w:numFmt w:val="decimal"/>
      <w:lvlText w:val="%4."/>
      <w:lvlJc w:val="left"/>
      <w:pPr>
        <w:ind w:left="3229" w:hanging="360"/>
      </w:pPr>
    </w:lvl>
    <w:lvl w:ilvl="4" w:tplc="E026932C" w:tentative="1">
      <w:start w:val="1"/>
      <w:numFmt w:val="lowerLetter"/>
      <w:lvlText w:val="%5."/>
      <w:lvlJc w:val="left"/>
      <w:pPr>
        <w:ind w:left="3949" w:hanging="360"/>
      </w:pPr>
    </w:lvl>
    <w:lvl w:ilvl="5" w:tplc="83D60D14" w:tentative="1">
      <w:start w:val="1"/>
      <w:numFmt w:val="lowerRoman"/>
      <w:lvlText w:val="%6."/>
      <w:lvlJc w:val="right"/>
      <w:pPr>
        <w:ind w:left="4669" w:hanging="180"/>
      </w:pPr>
    </w:lvl>
    <w:lvl w:ilvl="6" w:tplc="3E26947A" w:tentative="1">
      <w:start w:val="1"/>
      <w:numFmt w:val="decimal"/>
      <w:lvlText w:val="%7."/>
      <w:lvlJc w:val="left"/>
      <w:pPr>
        <w:ind w:left="5389" w:hanging="360"/>
      </w:pPr>
    </w:lvl>
    <w:lvl w:ilvl="7" w:tplc="992E1356" w:tentative="1">
      <w:start w:val="1"/>
      <w:numFmt w:val="lowerLetter"/>
      <w:lvlText w:val="%8."/>
      <w:lvlJc w:val="left"/>
      <w:pPr>
        <w:ind w:left="6109" w:hanging="360"/>
      </w:pPr>
    </w:lvl>
    <w:lvl w:ilvl="8" w:tplc="0F627ADA" w:tentative="1">
      <w:start w:val="1"/>
      <w:numFmt w:val="lowerRoman"/>
      <w:lvlText w:val="%9."/>
      <w:lvlJc w:val="right"/>
      <w:pPr>
        <w:ind w:left="6829" w:hanging="180"/>
      </w:pPr>
    </w:lvl>
  </w:abstractNum>
  <w:abstractNum w:abstractNumId="4" w15:restartNumberingAfterBreak="0">
    <w:nsid w:val="1C17484E"/>
    <w:multiLevelType w:val="hybridMultilevel"/>
    <w:tmpl w:val="AB684998"/>
    <w:lvl w:ilvl="0" w:tplc="4372E0B6">
      <w:start w:val="1"/>
      <w:numFmt w:val="bullet"/>
      <w:lvlText w:val=""/>
      <w:lvlJc w:val="left"/>
      <w:pPr>
        <w:ind w:left="1647" w:hanging="360"/>
      </w:pPr>
      <w:rPr>
        <w:rFonts w:ascii="Symbol" w:hAnsi="Symbol" w:hint="default"/>
      </w:rPr>
    </w:lvl>
    <w:lvl w:ilvl="1" w:tplc="31EA5A06" w:tentative="1">
      <w:start w:val="1"/>
      <w:numFmt w:val="bullet"/>
      <w:lvlText w:val="o"/>
      <w:lvlJc w:val="left"/>
      <w:pPr>
        <w:ind w:left="2367" w:hanging="360"/>
      </w:pPr>
      <w:rPr>
        <w:rFonts w:ascii="Courier New" w:hAnsi="Courier New" w:cs="Courier New" w:hint="default"/>
      </w:rPr>
    </w:lvl>
    <w:lvl w:ilvl="2" w:tplc="FC22329E" w:tentative="1">
      <w:start w:val="1"/>
      <w:numFmt w:val="bullet"/>
      <w:lvlText w:val=""/>
      <w:lvlJc w:val="left"/>
      <w:pPr>
        <w:ind w:left="3087" w:hanging="360"/>
      </w:pPr>
      <w:rPr>
        <w:rFonts w:ascii="Wingdings" w:hAnsi="Wingdings" w:hint="default"/>
      </w:rPr>
    </w:lvl>
    <w:lvl w:ilvl="3" w:tplc="51A0C18C">
      <w:start w:val="1"/>
      <w:numFmt w:val="bullet"/>
      <w:lvlText w:val=""/>
      <w:lvlJc w:val="left"/>
      <w:pPr>
        <w:ind w:left="3807" w:hanging="360"/>
      </w:pPr>
      <w:rPr>
        <w:rFonts w:ascii="Symbol" w:hAnsi="Symbol" w:hint="default"/>
      </w:rPr>
    </w:lvl>
    <w:lvl w:ilvl="4" w:tplc="9070B598" w:tentative="1">
      <w:start w:val="1"/>
      <w:numFmt w:val="bullet"/>
      <w:lvlText w:val="o"/>
      <w:lvlJc w:val="left"/>
      <w:pPr>
        <w:ind w:left="4527" w:hanging="360"/>
      </w:pPr>
      <w:rPr>
        <w:rFonts w:ascii="Courier New" w:hAnsi="Courier New" w:cs="Courier New" w:hint="default"/>
      </w:rPr>
    </w:lvl>
    <w:lvl w:ilvl="5" w:tplc="2282609C" w:tentative="1">
      <w:start w:val="1"/>
      <w:numFmt w:val="bullet"/>
      <w:lvlText w:val=""/>
      <w:lvlJc w:val="left"/>
      <w:pPr>
        <w:ind w:left="5247" w:hanging="360"/>
      </w:pPr>
      <w:rPr>
        <w:rFonts w:ascii="Wingdings" w:hAnsi="Wingdings" w:hint="default"/>
      </w:rPr>
    </w:lvl>
    <w:lvl w:ilvl="6" w:tplc="B2A4CDE8" w:tentative="1">
      <w:start w:val="1"/>
      <w:numFmt w:val="bullet"/>
      <w:lvlText w:val=""/>
      <w:lvlJc w:val="left"/>
      <w:pPr>
        <w:ind w:left="5967" w:hanging="360"/>
      </w:pPr>
      <w:rPr>
        <w:rFonts w:ascii="Symbol" w:hAnsi="Symbol" w:hint="default"/>
      </w:rPr>
    </w:lvl>
    <w:lvl w:ilvl="7" w:tplc="D5A6EB0A" w:tentative="1">
      <w:start w:val="1"/>
      <w:numFmt w:val="bullet"/>
      <w:lvlText w:val="o"/>
      <w:lvlJc w:val="left"/>
      <w:pPr>
        <w:ind w:left="6687" w:hanging="360"/>
      </w:pPr>
      <w:rPr>
        <w:rFonts w:ascii="Courier New" w:hAnsi="Courier New" w:cs="Courier New" w:hint="default"/>
      </w:rPr>
    </w:lvl>
    <w:lvl w:ilvl="8" w:tplc="70386EBE" w:tentative="1">
      <w:start w:val="1"/>
      <w:numFmt w:val="bullet"/>
      <w:lvlText w:val=""/>
      <w:lvlJc w:val="left"/>
      <w:pPr>
        <w:ind w:left="7407" w:hanging="360"/>
      </w:pPr>
      <w:rPr>
        <w:rFonts w:ascii="Wingdings" w:hAnsi="Wingdings" w:hint="default"/>
      </w:rPr>
    </w:lvl>
  </w:abstractNum>
  <w:abstractNum w:abstractNumId="5" w15:restartNumberingAfterBreak="0">
    <w:nsid w:val="20451C56"/>
    <w:multiLevelType w:val="multilevel"/>
    <w:tmpl w:val="99804A7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1752EC5"/>
    <w:multiLevelType w:val="hybridMultilevel"/>
    <w:tmpl w:val="F57055CA"/>
    <w:lvl w:ilvl="0" w:tplc="830CE114">
      <w:start w:val="6"/>
      <w:numFmt w:val="lowerLetter"/>
      <w:lvlText w:val="%1)"/>
      <w:lvlJc w:val="left"/>
      <w:pPr>
        <w:ind w:left="1440" w:hanging="360"/>
      </w:pPr>
      <w:rPr>
        <w:rFonts w:asciiTheme="minorHAnsi" w:hAnsiTheme="minorHAnsi" w:cstheme="minorHAnsi" w:hint="default"/>
      </w:rPr>
    </w:lvl>
    <w:lvl w:ilvl="1" w:tplc="75ACC73A" w:tentative="1">
      <w:start w:val="1"/>
      <w:numFmt w:val="lowerLetter"/>
      <w:lvlText w:val="%2."/>
      <w:lvlJc w:val="left"/>
      <w:pPr>
        <w:ind w:left="2160" w:hanging="360"/>
      </w:pPr>
    </w:lvl>
    <w:lvl w:ilvl="2" w:tplc="9440EB76" w:tentative="1">
      <w:start w:val="1"/>
      <w:numFmt w:val="lowerRoman"/>
      <w:lvlText w:val="%3."/>
      <w:lvlJc w:val="right"/>
      <w:pPr>
        <w:ind w:left="2880" w:hanging="180"/>
      </w:pPr>
    </w:lvl>
    <w:lvl w:ilvl="3" w:tplc="95B6E1CC">
      <w:start w:val="1"/>
      <w:numFmt w:val="decimal"/>
      <w:lvlText w:val="%4."/>
      <w:lvlJc w:val="left"/>
      <w:pPr>
        <w:ind w:left="3600" w:hanging="360"/>
      </w:pPr>
    </w:lvl>
    <w:lvl w:ilvl="4" w:tplc="ED3EE53C" w:tentative="1">
      <w:start w:val="1"/>
      <w:numFmt w:val="lowerLetter"/>
      <w:lvlText w:val="%5."/>
      <w:lvlJc w:val="left"/>
      <w:pPr>
        <w:ind w:left="4320" w:hanging="360"/>
      </w:pPr>
    </w:lvl>
    <w:lvl w:ilvl="5" w:tplc="E612EB98" w:tentative="1">
      <w:start w:val="1"/>
      <w:numFmt w:val="lowerRoman"/>
      <w:lvlText w:val="%6."/>
      <w:lvlJc w:val="right"/>
      <w:pPr>
        <w:ind w:left="5040" w:hanging="180"/>
      </w:pPr>
    </w:lvl>
    <w:lvl w:ilvl="6" w:tplc="EC341B16" w:tentative="1">
      <w:start w:val="1"/>
      <w:numFmt w:val="decimal"/>
      <w:lvlText w:val="%7."/>
      <w:lvlJc w:val="left"/>
      <w:pPr>
        <w:ind w:left="5760" w:hanging="360"/>
      </w:pPr>
    </w:lvl>
    <w:lvl w:ilvl="7" w:tplc="6B3A1D72" w:tentative="1">
      <w:start w:val="1"/>
      <w:numFmt w:val="lowerLetter"/>
      <w:lvlText w:val="%8."/>
      <w:lvlJc w:val="left"/>
      <w:pPr>
        <w:ind w:left="6480" w:hanging="360"/>
      </w:pPr>
    </w:lvl>
    <w:lvl w:ilvl="8" w:tplc="09DA4862" w:tentative="1">
      <w:start w:val="1"/>
      <w:numFmt w:val="lowerRoman"/>
      <w:lvlText w:val="%9."/>
      <w:lvlJc w:val="right"/>
      <w:pPr>
        <w:ind w:left="7200" w:hanging="180"/>
      </w:pPr>
    </w:lvl>
  </w:abstractNum>
  <w:abstractNum w:abstractNumId="7" w15:restartNumberingAfterBreak="0">
    <w:nsid w:val="25DD3C60"/>
    <w:multiLevelType w:val="multilevel"/>
    <w:tmpl w:val="D794DA60"/>
    <w:lvl w:ilvl="0">
      <w:start w:val="2"/>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8" w15:restartNumberingAfterBreak="0">
    <w:nsid w:val="27CF5AD1"/>
    <w:multiLevelType w:val="multilevel"/>
    <w:tmpl w:val="AB40344C"/>
    <w:lvl w:ilvl="0">
      <w:start w:val="8"/>
      <w:numFmt w:val="decimal"/>
      <w:lvlText w:val="%1"/>
      <w:lvlJc w:val="left"/>
      <w:pPr>
        <w:ind w:left="360" w:hanging="360"/>
      </w:pPr>
      <w:rPr>
        <w:rFonts w:hint="default"/>
        <w:sz w:val="22"/>
      </w:rPr>
    </w:lvl>
    <w:lvl w:ilvl="1">
      <w:start w:val="1"/>
      <w:numFmt w:val="decimal"/>
      <w:lvlText w:val="%1.%2"/>
      <w:lvlJc w:val="left"/>
      <w:pPr>
        <w:ind w:left="927" w:hanging="36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409" w:hanging="1440"/>
      </w:pPr>
      <w:rPr>
        <w:rFonts w:hint="default"/>
        <w:sz w:val="22"/>
      </w:rPr>
    </w:lvl>
    <w:lvl w:ilvl="8">
      <w:start w:val="1"/>
      <w:numFmt w:val="decimal"/>
      <w:lvlText w:val="%1.%2.%3.%4.%5.%6.%7.%8.%9"/>
      <w:lvlJc w:val="left"/>
      <w:pPr>
        <w:ind w:left="5976" w:hanging="1440"/>
      </w:pPr>
      <w:rPr>
        <w:rFonts w:hint="default"/>
        <w:sz w:val="22"/>
      </w:rPr>
    </w:lvl>
  </w:abstractNum>
  <w:abstractNum w:abstractNumId="9" w15:restartNumberingAfterBreak="0">
    <w:nsid w:val="29607548"/>
    <w:multiLevelType w:val="hybridMultilevel"/>
    <w:tmpl w:val="21284528"/>
    <w:lvl w:ilvl="0" w:tplc="0D387942">
      <w:start w:val="1"/>
      <w:numFmt w:val="bullet"/>
      <w:lvlText w:val=""/>
      <w:lvlJc w:val="left"/>
      <w:pPr>
        <w:ind w:left="1647" w:hanging="360"/>
      </w:pPr>
      <w:rPr>
        <w:rFonts w:ascii="Symbol" w:hAnsi="Symbol" w:hint="default"/>
      </w:rPr>
    </w:lvl>
    <w:lvl w:ilvl="1" w:tplc="3D1CC1FC" w:tentative="1">
      <w:start w:val="1"/>
      <w:numFmt w:val="bullet"/>
      <w:lvlText w:val="o"/>
      <w:lvlJc w:val="left"/>
      <w:pPr>
        <w:ind w:left="2367" w:hanging="360"/>
      </w:pPr>
      <w:rPr>
        <w:rFonts w:ascii="Courier New" w:hAnsi="Courier New" w:cs="Courier New" w:hint="default"/>
      </w:rPr>
    </w:lvl>
    <w:lvl w:ilvl="2" w:tplc="5FBAE662" w:tentative="1">
      <w:start w:val="1"/>
      <w:numFmt w:val="bullet"/>
      <w:lvlText w:val=""/>
      <w:lvlJc w:val="left"/>
      <w:pPr>
        <w:ind w:left="3087" w:hanging="360"/>
      </w:pPr>
      <w:rPr>
        <w:rFonts w:ascii="Wingdings" w:hAnsi="Wingdings" w:hint="default"/>
      </w:rPr>
    </w:lvl>
    <w:lvl w:ilvl="3" w:tplc="F29E4CA6" w:tentative="1">
      <w:start w:val="1"/>
      <w:numFmt w:val="bullet"/>
      <w:lvlText w:val=""/>
      <w:lvlJc w:val="left"/>
      <w:pPr>
        <w:ind w:left="3807" w:hanging="360"/>
      </w:pPr>
      <w:rPr>
        <w:rFonts w:ascii="Symbol" w:hAnsi="Symbol" w:hint="default"/>
      </w:rPr>
    </w:lvl>
    <w:lvl w:ilvl="4" w:tplc="D59C5778" w:tentative="1">
      <w:start w:val="1"/>
      <w:numFmt w:val="bullet"/>
      <w:lvlText w:val="o"/>
      <w:lvlJc w:val="left"/>
      <w:pPr>
        <w:ind w:left="4527" w:hanging="360"/>
      </w:pPr>
      <w:rPr>
        <w:rFonts w:ascii="Courier New" w:hAnsi="Courier New" w:cs="Courier New" w:hint="default"/>
      </w:rPr>
    </w:lvl>
    <w:lvl w:ilvl="5" w:tplc="FCA63776" w:tentative="1">
      <w:start w:val="1"/>
      <w:numFmt w:val="bullet"/>
      <w:lvlText w:val=""/>
      <w:lvlJc w:val="left"/>
      <w:pPr>
        <w:ind w:left="5247" w:hanging="360"/>
      </w:pPr>
      <w:rPr>
        <w:rFonts w:ascii="Wingdings" w:hAnsi="Wingdings" w:hint="default"/>
      </w:rPr>
    </w:lvl>
    <w:lvl w:ilvl="6" w:tplc="346468DE" w:tentative="1">
      <w:start w:val="1"/>
      <w:numFmt w:val="bullet"/>
      <w:lvlText w:val=""/>
      <w:lvlJc w:val="left"/>
      <w:pPr>
        <w:ind w:left="5967" w:hanging="360"/>
      </w:pPr>
      <w:rPr>
        <w:rFonts w:ascii="Symbol" w:hAnsi="Symbol" w:hint="default"/>
      </w:rPr>
    </w:lvl>
    <w:lvl w:ilvl="7" w:tplc="9B32537A" w:tentative="1">
      <w:start w:val="1"/>
      <w:numFmt w:val="bullet"/>
      <w:lvlText w:val="o"/>
      <w:lvlJc w:val="left"/>
      <w:pPr>
        <w:ind w:left="6687" w:hanging="360"/>
      </w:pPr>
      <w:rPr>
        <w:rFonts w:ascii="Courier New" w:hAnsi="Courier New" w:cs="Courier New" w:hint="default"/>
      </w:rPr>
    </w:lvl>
    <w:lvl w:ilvl="8" w:tplc="F726313E" w:tentative="1">
      <w:start w:val="1"/>
      <w:numFmt w:val="bullet"/>
      <w:lvlText w:val=""/>
      <w:lvlJc w:val="left"/>
      <w:pPr>
        <w:ind w:left="7407" w:hanging="360"/>
      </w:pPr>
      <w:rPr>
        <w:rFonts w:ascii="Wingdings" w:hAnsi="Wingdings" w:hint="default"/>
      </w:rPr>
    </w:lvl>
  </w:abstractNum>
  <w:abstractNum w:abstractNumId="10" w15:restartNumberingAfterBreak="0">
    <w:nsid w:val="36732039"/>
    <w:multiLevelType w:val="multilevel"/>
    <w:tmpl w:val="D8AE07E4"/>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lowerLetter"/>
      <w:lvlText w:val="%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43A66F9D"/>
    <w:multiLevelType w:val="multilevel"/>
    <w:tmpl w:val="52529B9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5C55C6B"/>
    <w:multiLevelType w:val="multilevel"/>
    <w:tmpl w:val="772AE648"/>
    <w:lvl w:ilvl="0">
      <w:start w:val="1"/>
      <w:numFmt w:val="decimal"/>
      <w:lvlText w:val="%1."/>
      <w:lvlJc w:val="left"/>
      <w:pPr>
        <w:ind w:left="360" w:hanging="360"/>
      </w:pPr>
      <w:rPr>
        <w:b/>
      </w:rPr>
    </w:lvl>
    <w:lvl w:ilvl="1">
      <w:start w:val="1"/>
      <w:numFmt w:val="decimal"/>
      <w:lvlText w:val="%1.%2."/>
      <w:lvlJc w:val="left"/>
      <w:pPr>
        <w:ind w:left="720" w:hanging="360"/>
      </w:pPr>
      <w:rPr>
        <w:b w:val="0"/>
      </w:rPr>
    </w:lvl>
    <w:lvl w:ilvl="2">
      <w:start w:val="1"/>
      <w:numFmt w:val="lowerLetter"/>
      <w:lvlText w:val="%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483E2C8B"/>
    <w:multiLevelType w:val="multilevel"/>
    <w:tmpl w:val="1FDA56F2"/>
    <w:lvl w:ilvl="0">
      <w:start w:val="1"/>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584F1973"/>
    <w:multiLevelType w:val="multilevel"/>
    <w:tmpl w:val="F920DEC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996740"/>
    <w:multiLevelType w:val="hybridMultilevel"/>
    <w:tmpl w:val="AF1A24C4"/>
    <w:lvl w:ilvl="0" w:tplc="DF2E9B28">
      <w:start w:val="1"/>
      <w:numFmt w:val="bullet"/>
      <w:lvlText w:val=""/>
      <w:lvlJc w:val="left"/>
      <w:pPr>
        <w:ind w:left="1800" w:hanging="360"/>
      </w:pPr>
      <w:rPr>
        <w:rFonts w:ascii="Symbol" w:hAnsi="Symbol" w:hint="default"/>
      </w:rPr>
    </w:lvl>
    <w:lvl w:ilvl="1" w:tplc="E4B22E80">
      <w:start w:val="1"/>
      <w:numFmt w:val="bullet"/>
      <w:lvlText w:val="o"/>
      <w:lvlJc w:val="left"/>
      <w:pPr>
        <w:ind w:left="2520" w:hanging="360"/>
      </w:pPr>
      <w:rPr>
        <w:rFonts w:ascii="Courier New" w:hAnsi="Courier New" w:cs="Courier New" w:hint="default"/>
      </w:rPr>
    </w:lvl>
    <w:lvl w:ilvl="2" w:tplc="4CBC4B9A" w:tentative="1">
      <w:start w:val="1"/>
      <w:numFmt w:val="bullet"/>
      <w:lvlText w:val=""/>
      <w:lvlJc w:val="left"/>
      <w:pPr>
        <w:ind w:left="3240" w:hanging="360"/>
      </w:pPr>
      <w:rPr>
        <w:rFonts w:ascii="Wingdings" w:hAnsi="Wingdings" w:hint="default"/>
      </w:rPr>
    </w:lvl>
    <w:lvl w:ilvl="3" w:tplc="E25A1526" w:tentative="1">
      <w:start w:val="1"/>
      <w:numFmt w:val="bullet"/>
      <w:lvlText w:val=""/>
      <w:lvlJc w:val="left"/>
      <w:pPr>
        <w:ind w:left="3960" w:hanging="360"/>
      </w:pPr>
      <w:rPr>
        <w:rFonts w:ascii="Symbol" w:hAnsi="Symbol" w:hint="default"/>
      </w:rPr>
    </w:lvl>
    <w:lvl w:ilvl="4" w:tplc="CCA09A9C" w:tentative="1">
      <w:start w:val="1"/>
      <w:numFmt w:val="bullet"/>
      <w:lvlText w:val="o"/>
      <w:lvlJc w:val="left"/>
      <w:pPr>
        <w:ind w:left="4680" w:hanging="360"/>
      </w:pPr>
      <w:rPr>
        <w:rFonts w:ascii="Courier New" w:hAnsi="Courier New" w:cs="Courier New" w:hint="default"/>
      </w:rPr>
    </w:lvl>
    <w:lvl w:ilvl="5" w:tplc="F5DEE50C" w:tentative="1">
      <w:start w:val="1"/>
      <w:numFmt w:val="bullet"/>
      <w:lvlText w:val=""/>
      <w:lvlJc w:val="left"/>
      <w:pPr>
        <w:ind w:left="5400" w:hanging="360"/>
      </w:pPr>
      <w:rPr>
        <w:rFonts w:ascii="Wingdings" w:hAnsi="Wingdings" w:hint="default"/>
      </w:rPr>
    </w:lvl>
    <w:lvl w:ilvl="6" w:tplc="B586864C" w:tentative="1">
      <w:start w:val="1"/>
      <w:numFmt w:val="bullet"/>
      <w:lvlText w:val=""/>
      <w:lvlJc w:val="left"/>
      <w:pPr>
        <w:ind w:left="6120" w:hanging="360"/>
      </w:pPr>
      <w:rPr>
        <w:rFonts w:ascii="Symbol" w:hAnsi="Symbol" w:hint="default"/>
      </w:rPr>
    </w:lvl>
    <w:lvl w:ilvl="7" w:tplc="B9C8D5EC" w:tentative="1">
      <w:start w:val="1"/>
      <w:numFmt w:val="bullet"/>
      <w:lvlText w:val="o"/>
      <w:lvlJc w:val="left"/>
      <w:pPr>
        <w:ind w:left="6840" w:hanging="360"/>
      </w:pPr>
      <w:rPr>
        <w:rFonts w:ascii="Courier New" w:hAnsi="Courier New" w:cs="Courier New" w:hint="default"/>
      </w:rPr>
    </w:lvl>
    <w:lvl w:ilvl="8" w:tplc="3ACE3F6E" w:tentative="1">
      <w:start w:val="1"/>
      <w:numFmt w:val="bullet"/>
      <w:lvlText w:val=""/>
      <w:lvlJc w:val="left"/>
      <w:pPr>
        <w:ind w:left="7560" w:hanging="360"/>
      </w:pPr>
      <w:rPr>
        <w:rFonts w:ascii="Wingdings" w:hAnsi="Wingdings" w:hint="default"/>
      </w:rPr>
    </w:lvl>
  </w:abstractNum>
  <w:abstractNum w:abstractNumId="16" w15:restartNumberingAfterBreak="0">
    <w:nsid w:val="639F2902"/>
    <w:multiLevelType w:val="multilevel"/>
    <w:tmpl w:val="DFC87B8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6E8D5766"/>
    <w:multiLevelType w:val="multilevel"/>
    <w:tmpl w:val="7DA6B042"/>
    <w:lvl w:ilvl="0">
      <w:start w:val="8"/>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num w:numId="1">
    <w:abstractNumId w:val="14"/>
  </w:num>
  <w:num w:numId="2">
    <w:abstractNumId w:val="0"/>
  </w:num>
  <w:num w:numId="3">
    <w:abstractNumId w:val="11"/>
  </w:num>
  <w:num w:numId="4">
    <w:abstractNumId w:val="13"/>
  </w:num>
  <w:num w:numId="5">
    <w:abstractNumId w:val="15"/>
  </w:num>
  <w:num w:numId="6">
    <w:abstractNumId w:val="3"/>
  </w:num>
  <w:num w:numId="7">
    <w:abstractNumId w:val="16"/>
  </w:num>
  <w:num w:numId="8">
    <w:abstractNumId w:val="1"/>
  </w:num>
  <w:num w:numId="9">
    <w:abstractNumId w:val="4"/>
  </w:num>
  <w:num w:numId="10">
    <w:abstractNumId w:val="9"/>
  </w:num>
  <w:num w:numId="11">
    <w:abstractNumId w:val="8"/>
  </w:num>
  <w:num w:numId="12">
    <w:abstractNumId w:val="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7"/>
  </w:num>
  <w:num w:numId="16">
    <w:abstractNumId w:val="10"/>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DC1"/>
    <w:rsid w:val="00003C39"/>
    <w:rsid w:val="00007B6B"/>
    <w:rsid w:val="000120F6"/>
    <w:rsid w:val="000137A8"/>
    <w:rsid w:val="00023101"/>
    <w:rsid w:val="000439B5"/>
    <w:rsid w:val="00046C34"/>
    <w:rsid w:val="00053C45"/>
    <w:rsid w:val="00054FE0"/>
    <w:rsid w:val="000561DB"/>
    <w:rsid w:val="00062C42"/>
    <w:rsid w:val="00077577"/>
    <w:rsid w:val="00090E3A"/>
    <w:rsid w:val="00095EDF"/>
    <w:rsid w:val="000A366A"/>
    <w:rsid w:val="000C07B2"/>
    <w:rsid w:val="000C3A4B"/>
    <w:rsid w:val="000C7668"/>
    <w:rsid w:val="000D0B10"/>
    <w:rsid w:val="000D3BCE"/>
    <w:rsid w:val="000E0B56"/>
    <w:rsid w:val="000E133F"/>
    <w:rsid w:val="000E1BAB"/>
    <w:rsid w:val="000E5E1A"/>
    <w:rsid w:val="000F3379"/>
    <w:rsid w:val="000F43E0"/>
    <w:rsid w:val="000F79C0"/>
    <w:rsid w:val="00102846"/>
    <w:rsid w:val="0010321C"/>
    <w:rsid w:val="0010668A"/>
    <w:rsid w:val="001104FE"/>
    <w:rsid w:val="001174A1"/>
    <w:rsid w:val="0012346E"/>
    <w:rsid w:val="001243EB"/>
    <w:rsid w:val="00157CFC"/>
    <w:rsid w:val="001611F2"/>
    <w:rsid w:val="00170EB3"/>
    <w:rsid w:val="0017201F"/>
    <w:rsid w:val="001721DD"/>
    <w:rsid w:val="001770FC"/>
    <w:rsid w:val="001779DC"/>
    <w:rsid w:val="00183A65"/>
    <w:rsid w:val="001878FE"/>
    <w:rsid w:val="00187BEA"/>
    <w:rsid w:val="0019039E"/>
    <w:rsid w:val="001906FE"/>
    <w:rsid w:val="001B47D3"/>
    <w:rsid w:val="001C484D"/>
    <w:rsid w:val="001D5772"/>
    <w:rsid w:val="001E4F60"/>
    <w:rsid w:val="001F68D5"/>
    <w:rsid w:val="002032EF"/>
    <w:rsid w:val="00203E03"/>
    <w:rsid w:val="00213BFD"/>
    <w:rsid w:val="00216546"/>
    <w:rsid w:val="00224F80"/>
    <w:rsid w:val="00227281"/>
    <w:rsid w:val="002317CA"/>
    <w:rsid w:val="00243A05"/>
    <w:rsid w:val="00250F85"/>
    <w:rsid w:val="0025332C"/>
    <w:rsid w:val="0026007D"/>
    <w:rsid w:val="0026509F"/>
    <w:rsid w:val="00271927"/>
    <w:rsid w:val="002719F6"/>
    <w:rsid w:val="002749AE"/>
    <w:rsid w:val="00281DCA"/>
    <w:rsid w:val="002925E7"/>
    <w:rsid w:val="0029753A"/>
    <w:rsid w:val="00297B08"/>
    <w:rsid w:val="00297BB0"/>
    <w:rsid w:val="002B63DC"/>
    <w:rsid w:val="002D5A86"/>
    <w:rsid w:val="002D63B6"/>
    <w:rsid w:val="002E4C78"/>
    <w:rsid w:val="002F5A4C"/>
    <w:rsid w:val="00301E45"/>
    <w:rsid w:val="00321673"/>
    <w:rsid w:val="0035078D"/>
    <w:rsid w:val="00350F4F"/>
    <w:rsid w:val="00352198"/>
    <w:rsid w:val="0036307B"/>
    <w:rsid w:val="0036520B"/>
    <w:rsid w:val="0036643B"/>
    <w:rsid w:val="003928B4"/>
    <w:rsid w:val="00392DE2"/>
    <w:rsid w:val="00392E88"/>
    <w:rsid w:val="003963AD"/>
    <w:rsid w:val="003A0097"/>
    <w:rsid w:val="003A27D7"/>
    <w:rsid w:val="003A67E1"/>
    <w:rsid w:val="003A6C5D"/>
    <w:rsid w:val="003A7CC5"/>
    <w:rsid w:val="003B5721"/>
    <w:rsid w:val="003B7D24"/>
    <w:rsid w:val="003C0B88"/>
    <w:rsid w:val="003C67DD"/>
    <w:rsid w:val="003D090F"/>
    <w:rsid w:val="003D25E0"/>
    <w:rsid w:val="003D3AB0"/>
    <w:rsid w:val="003D6153"/>
    <w:rsid w:val="003D6C6B"/>
    <w:rsid w:val="003E69D5"/>
    <w:rsid w:val="003F4A68"/>
    <w:rsid w:val="004043A4"/>
    <w:rsid w:val="00410A5C"/>
    <w:rsid w:val="004118A3"/>
    <w:rsid w:val="0042315D"/>
    <w:rsid w:val="00424A27"/>
    <w:rsid w:val="004376E2"/>
    <w:rsid w:val="00441AEF"/>
    <w:rsid w:val="0044403F"/>
    <w:rsid w:val="00446253"/>
    <w:rsid w:val="00446E9A"/>
    <w:rsid w:val="00456DD6"/>
    <w:rsid w:val="0047110C"/>
    <w:rsid w:val="00486332"/>
    <w:rsid w:val="00486B26"/>
    <w:rsid w:val="004A04C2"/>
    <w:rsid w:val="004A08D2"/>
    <w:rsid w:val="004A1E29"/>
    <w:rsid w:val="004A1F37"/>
    <w:rsid w:val="004A250C"/>
    <w:rsid w:val="004B4CF0"/>
    <w:rsid w:val="004C0E5C"/>
    <w:rsid w:val="004D7F65"/>
    <w:rsid w:val="004E5FD1"/>
    <w:rsid w:val="004F242D"/>
    <w:rsid w:val="004F5693"/>
    <w:rsid w:val="004F5799"/>
    <w:rsid w:val="004F77DF"/>
    <w:rsid w:val="00516E31"/>
    <w:rsid w:val="005203CC"/>
    <w:rsid w:val="00535CAA"/>
    <w:rsid w:val="00543C6B"/>
    <w:rsid w:val="00557DC1"/>
    <w:rsid w:val="00564320"/>
    <w:rsid w:val="00565295"/>
    <w:rsid w:val="00565F2B"/>
    <w:rsid w:val="00566B1E"/>
    <w:rsid w:val="00573A60"/>
    <w:rsid w:val="00575DDA"/>
    <w:rsid w:val="00584B62"/>
    <w:rsid w:val="00585453"/>
    <w:rsid w:val="00585926"/>
    <w:rsid w:val="00585E24"/>
    <w:rsid w:val="00592B80"/>
    <w:rsid w:val="0059751B"/>
    <w:rsid w:val="005B0954"/>
    <w:rsid w:val="005C2064"/>
    <w:rsid w:val="005D1CDF"/>
    <w:rsid w:val="005D656C"/>
    <w:rsid w:val="005E0A7B"/>
    <w:rsid w:val="005E0FAC"/>
    <w:rsid w:val="005E5D82"/>
    <w:rsid w:val="006067DC"/>
    <w:rsid w:val="00607A78"/>
    <w:rsid w:val="00610B70"/>
    <w:rsid w:val="00615F29"/>
    <w:rsid w:val="006250AC"/>
    <w:rsid w:val="00627587"/>
    <w:rsid w:val="00627974"/>
    <w:rsid w:val="00631959"/>
    <w:rsid w:val="00652289"/>
    <w:rsid w:val="00656354"/>
    <w:rsid w:val="00660DFC"/>
    <w:rsid w:val="00670DD0"/>
    <w:rsid w:val="00672516"/>
    <w:rsid w:val="00673651"/>
    <w:rsid w:val="00686E9D"/>
    <w:rsid w:val="006A084C"/>
    <w:rsid w:val="006A3038"/>
    <w:rsid w:val="006A765A"/>
    <w:rsid w:val="006B71F8"/>
    <w:rsid w:val="006C2065"/>
    <w:rsid w:val="006C3C3F"/>
    <w:rsid w:val="006E39A1"/>
    <w:rsid w:val="006F17AF"/>
    <w:rsid w:val="006F49D7"/>
    <w:rsid w:val="006F5042"/>
    <w:rsid w:val="00707CB4"/>
    <w:rsid w:val="00724804"/>
    <w:rsid w:val="00726AAB"/>
    <w:rsid w:val="007277F2"/>
    <w:rsid w:val="00741290"/>
    <w:rsid w:val="00746F98"/>
    <w:rsid w:val="00747A33"/>
    <w:rsid w:val="00755961"/>
    <w:rsid w:val="00767EA8"/>
    <w:rsid w:val="00771B59"/>
    <w:rsid w:val="0077597E"/>
    <w:rsid w:val="00780B11"/>
    <w:rsid w:val="00781F56"/>
    <w:rsid w:val="00785A0E"/>
    <w:rsid w:val="007969C8"/>
    <w:rsid w:val="0079736B"/>
    <w:rsid w:val="00797E83"/>
    <w:rsid w:val="007A0A30"/>
    <w:rsid w:val="007A51CA"/>
    <w:rsid w:val="007B7FD0"/>
    <w:rsid w:val="007C0FBE"/>
    <w:rsid w:val="007D02FE"/>
    <w:rsid w:val="007F0AB3"/>
    <w:rsid w:val="00806EC6"/>
    <w:rsid w:val="00814979"/>
    <w:rsid w:val="00844427"/>
    <w:rsid w:val="00877BF9"/>
    <w:rsid w:val="0088369F"/>
    <w:rsid w:val="00890142"/>
    <w:rsid w:val="00892C46"/>
    <w:rsid w:val="008A04FC"/>
    <w:rsid w:val="008B29E1"/>
    <w:rsid w:val="008B45CF"/>
    <w:rsid w:val="008B4EF0"/>
    <w:rsid w:val="008D1E9E"/>
    <w:rsid w:val="008E359B"/>
    <w:rsid w:val="008E5671"/>
    <w:rsid w:val="008F10A9"/>
    <w:rsid w:val="00904E07"/>
    <w:rsid w:val="00915741"/>
    <w:rsid w:val="009164D8"/>
    <w:rsid w:val="00917312"/>
    <w:rsid w:val="00930DBF"/>
    <w:rsid w:val="00932EBA"/>
    <w:rsid w:val="009442DD"/>
    <w:rsid w:val="009479BC"/>
    <w:rsid w:val="0096788F"/>
    <w:rsid w:val="00973627"/>
    <w:rsid w:val="0098008B"/>
    <w:rsid w:val="009821E1"/>
    <w:rsid w:val="00991160"/>
    <w:rsid w:val="00994ED5"/>
    <w:rsid w:val="00996651"/>
    <w:rsid w:val="009A0381"/>
    <w:rsid w:val="009A668E"/>
    <w:rsid w:val="009B10FE"/>
    <w:rsid w:val="009B76D5"/>
    <w:rsid w:val="009C1D34"/>
    <w:rsid w:val="009E4E21"/>
    <w:rsid w:val="00A068AC"/>
    <w:rsid w:val="00A26B21"/>
    <w:rsid w:val="00A350C1"/>
    <w:rsid w:val="00A41D6D"/>
    <w:rsid w:val="00A475AB"/>
    <w:rsid w:val="00A51BDE"/>
    <w:rsid w:val="00A51C5E"/>
    <w:rsid w:val="00A53623"/>
    <w:rsid w:val="00A54B4F"/>
    <w:rsid w:val="00A61B7A"/>
    <w:rsid w:val="00A65DE4"/>
    <w:rsid w:val="00A66026"/>
    <w:rsid w:val="00A7036E"/>
    <w:rsid w:val="00A84C4F"/>
    <w:rsid w:val="00A8705F"/>
    <w:rsid w:val="00A8715D"/>
    <w:rsid w:val="00A90EB9"/>
    <w:rsid w:val="00A91CB3"/>
    <w:rsid w:val="00A953FE"/>
    <w:rsid w:val="00AB3B61"/>
    <w:rsid w:val="00AC152A"/>
    <w:rsid w:val="00AD31B5"/>
    <w:rsid w:val="00AD4E8C"/>
    <w:rsid w:val="00AD761B"/>
    <w:rsid w:val="00AE68EF"/>
    <w:rsid w:val="00AF339D"/>
    <w:rsid w:val="00B022AA"/>
    <w:rsid w:val="00B03D26"/>
    <w:rsid w:val="00B06727"/>
    <w:rsid w:val="00B14B5E"/>
    <w:rsid w:val="00B325C1"/>
    <w:rsid w:val="00B3488B"/>
    <w:rsid w:val="00B42F24"/>
    <w:rsid w:val="00B43660"/>
    <w:rsid w:val="00B43A43"/>
    <w:rsid w:val="00B4548F"/>
    <w:rsid w:val="00B4628B"/>
    <w:rsid w:val="00B511D1"/>
    <w:rsid w:val="00B66962"/>
    <w:rsid w:val="00B7429C"/>
    <w:rsid w:val="00B850B9"/>
    <w:rsid w:val="00B92B55"/>
    <w:rsid w:val="00BB1B7E"/>
    <w:rsid w:val="00BB3532"/>
    <w:rsid w:val="00BB5451"/>
    <w:rsid w:val="00BB70CC"/>
    <w:rsid w:val="00BC32DA"/>
    <w:rsid w:val="00BC4FC9"/>
    <w:rsid w:val="00BC7236"/>
    <w:rsid w:val="00BF0F45"/>
    <w:rsid w:val="00BF21FC"/>
    <w:rsid w:val="00C05678"/>
    <w:rsid w:val="00C065F3"/>
    <w:rsid w:val="00C06B47"/>
    <w:rsid w:val="00C120FE"/>
    <w:rsid w:val="00C21477"/>
    <w:rsid w:val="00C23C75"/>
    <w:rsid w:val="00C250A6"/>
    <w:rsid w:val="00C26B04"/>
    <w:rsid w:val="00C37823"/>
    <w:rsid w:val="00C46431"/>
    <w:rsid w:val="00C52922"/>
    <w:rsid w:val="00C53BEF"/>
    <w:rsid w:val="00C54D87"/>
    <w:rsid w:val="00C5729E"/>
    <w:rsid w:val="00C7057A"/>
    <w:rsid w:val="00C7073D"/>
    <w:rsid w:val="00C730B4"/>
    <w:rsid w:val="00C83F96"/>
    <w:rsid w:val="00C95EE3"/>
    <w:rsid w:val="00C97446"/>
    <w:rsid w:val="00CA2E0D"/>
    <w:rsid w:val="00CA7E48"/>
    <w:rsid w:val="00CC4662"/>
    <w:rsid w:val="00CC5A3E"/>
    <w:rsid w:val="00CD65BD"/>
    <w:rsid w:val="00CE15B5"/>
    <w:rsid w:val="00CF0B10"/>
    <w:rsid w:val="00CF33F3"/>
    <w:rsid w:val="00CF5A25"/>
    <w:rsid w:val="00CF636E"/>
    <w:rsid w:val="00D04961"/>
    <w:rsid w:val="00D21776"/>
    <w:rsid w:val="00D4786C"/>
    <w:rsid w:val="00D51CD3"/>
    <w:rsid w:val="00D63BAD"/>
    <w:rsid w:val="00D73415"/>
    <w:rsid w:val="00D827E7"/>
    <w:rsid w:val="00DA1B19"/>
    <w:rsid w:val="00DA5DF1"/>
    <w:rsid w:val="00DC1144"/>
    <w:rsid w:val="00DC13C5"/>
    <w:rsid w:val="00DC38B7"/>
    <w:rsid w:val="00DC7A2F"/>
    <w:rsid w:val="00DE247B"/>
    <w:rsid w:val="00DF1C1A"/>
    <w:rsid w:val="00E135A3"/>
    <w:rsid w:val="00E14C8E"/>
    <w:rsid w:val="00E30AB0"/>
    <w:rsid w:val="00E35A50"/>
    <w:rsid w:val="00E37FA8"/>
    <w:rsid w:val="00E44AAF"/>
    <w:rsid w:val="00E452B2"/>
    <w:rsid w:val="00E96CBA"/>
    <w:rsid w:val="00EA4CB6"/>
    <w:rsid w:val="00EB05E6"/>
    <w:rsid w:val="00EB36E3"/>
    <w:rsid w:val="00EC0015"/>
    <w:rsid w:val="00ED551C"/>
    <w:rsid w:val="00EE3640"/>
    <w:rsid w:val="00EE5055"/>
    <w:rsid w:val="00EF0B64"/>
    <w:rsid w:val="00EF2911"/>
    <w:rsid w:val="00EF6F00"/>
    <w:rsid w:val="00F12B00"/>
    <w:rsid w:val="00F30D90"/>
    <w:rsid w:val="00F37AA9"/>
    <w:rsid w:val="00F4171F"/>
    <w:rsid w:val="00F4780E"/>
    <w:rsid w:val="00F54600"/>
    <w:rsid w:val="00F6018A"/>
    <w:rsid w:val="00F62431"/>
    <w:rsid w:val="00F65F71"/>
    <w:rsid w:val="00F82B20"/>
    <w:rsid w:val="00FA655F"/>
    <w:rsid w:val="00FB0511"/>
    <w:rsid w:val="00FB07E0"/>
    <w:rsid w:val="00FB0BD7"/>
    <w:rsid w:val="00FB2998"/>
    <w:rsid w:val="00FB31F1"/>
    <w:rsid w:val="00FB7EA3"/>
    <w:rsid w:val="00FC4D5D"/>
    <w:rsid w:val="00FC5D9D"/>
    <w:rsid w:val="00FE108B"/>
    <w:rsid w:val="00FE605F"/>
    <w:rsid w:val="00FE7AC9"/>
    <w:rsid w:val="00FF5B6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619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6AAB"/>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Kolorowa lista — akcent 11,Numerowanie"/>
    <w:basedOn w:val="Normalny"/>
    <w:link w:val="AkapitzlistZnak"/>
    <w:qFormat/>
    <w:rsid w:val="00726AAB"/>
    <w:pPr>
      <w:ind w:left="720"/>
      <w:contextualSpacing/>
    </w:pPr>
  </w:style>
  <w:style w:type="paragraph" w:customStyle="1" w:styleId="Default">
    <w:name w:val="Default"/>
    <w:rsid w:val="00726AAB"/>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AkapitzlistZnak">
    <w:name w:val="Akapit z listą Znak"/>
    <w:aliases w:val="Akapit z listą BS Znak,Kolorowa lista — akcent 11 Znak,Numerowanie Znak"/>
    <w:link w:val="Akapitzlist"/>
    <w:locked/>
    <w:rsid w:val="00652289"/>
    <w:rPr>
      <w:rFonts w:ascii="Calibri" w:eastAsia="Times New Roman" w:hAnsi="Calibri" w:cs="Times New Roman"/>
      <w:lang w:eastAsia="pl-PL"/>
    </w:rPr>
  </w:style>
  <w:style w:type="character" w:styleId="Odwoaniedokomentarza">
    <w:name w:val="annotation reference"/>
    <w:unhideWhenUsed/>
    <w:rsid w:val="00726AAB"/>
    <w:rPr>
      <w:sz w:val="16"/>
      <w:szCs w:val="16"/>
    </w:rPr>
  </w:style>
  <w:style w:type="paragraph" w:styleId="Tekstkomentarza">
    <w:name w:val="annotation text"/>
    <w:basedOn w:val="Normalny"/>
    <w:link w:val="TekstkomentarzaZnak"/>
    <w:unhideWhenUsed/>
    <w:rsid w:val="00726AAB"/>
    <w:pPr>
      <w:spacing w:line="240" w:lineRule="auto"/>
    </w:pPr>
    <w:rPr>
      <w:sz w:val="20"/>
      <w:szCs w:val="20"/>
    </w:rPr>
  </w:style>
  <w:style w:type="character" w:customStyle="1" w:styleId="TekstkomentarzaZnak">
    <w:name w:val="Tekst komentarza Znak"/>
    <w:basedOn w:val="Domylnaczcionkaakapitu"/>
    <w:link w:val="Tekstkomentarza"/>
    <w:rsid w:val="00652289"/>
    <w:rPr>
      <w:rFonts w:ascii="Calibri" w:eastAsia="Times New Roman" w:hAnsi="Calibri" w:cs="Times New Roman"/>
      <w:sz w:val="20"/>
      <w:szCs w:val="20"/>
      <w:lang w:eastAsia="pl-PL"/>
    </w:rPr>
  </w:style>
  <w:style w:type="paragraph" w:styleId="Tekstprzypisudolnego">
    <w:name w:val="footnote text"/>
    <w:aliases w:val="-E Fußnotentext,-E Fuﬂnotentext,Footnote,Footnote text,Fußnote,Fußnotentext Ursprung,Fuﬂnotentext Ursprung,Podrozdzia3,Podrozdział,Tekst przypisu Znak Znak Znak Znak,Tekst przypisu Znak Znak Znak Znak Znak,Znak,fn,footnote text,o"/>
    <w:basedOn w:val="Normalny"/>
    <w:link w:val="TekstprzypisudolnegoZnak"/>
    <w:unhideWhenUsed/>
    <w:qFormat/>
    <w:rsid w:val="00726AAB"/>
    <w:pPr>
      <w:spacing w:after="0" w:line="240" w:lineRule="auto"/>
    </w:pPr>
    <w:rPr>
      <w:rFonts w:eastAsia="Calibri"/>
      <w:sz w:val="20"/>
      <w:szCs w:val="20"/>
    </w:rPr>
  </w:style>
  <w:style w:type="character" w:customStyle="1" w:styleId="TekstprzypisudolnegoZnak">
    <w:name w:val="Tekst przypisu dolnego Znak"/>
    <w:aliases w:val="-E Fußnotentext Znak,-E Fuﬂnotentext Znak,Footnote Znak,Footnote text Znak,Fußnote Znak,Fußnotentext Ursprung Znak,Fuﬂnotentext Ursprung Znak,Podrozdzia3 Znak,Podrozdział Znak,Tekst przypisu Znak Znak Znak Znak Znak1,fn Znak"/>
    <w:basedOn w:val="Domylnaczcionkaakapitu"/>
    <w:link w:val="Tekstprzypisudolnego"/>
    <w:rsid w:val="00652289"/>
    <w:rPr>
      <w:rFonts w:ascii="Calibri" w:eastAsia="Calibri" w:hAnsi="Calibri" w:cs="Times New Roman"/>
      <w:sz w:val="20"/>
      <w:szCs w:val="20"/>
    </w:rPr>
  </w:style>
  <w:style w:type="character" w:styleId="Odwoanieprzypisudolnego">
    <w:name w:val="footnote reference"/>
    <w:aliases w:val="16 Poi,EN Footnote Reference,Exposant 3 Point,Footnote Reference Number,Footnote number,Footnote reference number,Footnote symbol,Odwo3anie przypisu,Odwołanie przypisu,Ref,SUPERS,Times 10 Point,de nota al pie,note TESI,number"/>
    <w:unhideWhenUsed/>
    <w:rsid w:val="00726AAB"/>
    <w:rPr>
      <w:vertAlign w:val="superscript"/>
    </w:rPr>
  </w:style>
  <w:style w:type="paragraph" w:styleId="Tekstdymka">
    <w:name w:val="Balloon Text"/>
    <w:basedOn w:val="Normalny"/>
    <w:link w:val="TekstdymkaZnak"/>
    <w:unhideWhenUsed/>
    <w:rsid w:val="00726A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652289"/>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rsid w:val="001878FE"/>
    <w:pPr>
      <w:suppressAutoHyphens/>
      <w:autoSpaceDN w:val="0"/>
      <w:spacing w:after="160"/>
      <w:textAlignment w:val="baseline"/>
    </w:pPr>
    <w:rPr>
      <w:rFonts w:eastAsia="Calibri"/>
      <w:b/>
      <w:bCs/>
      <w:lang w:eastAsia="en-US"/>
    </w:rPr>
  </w:style>
  <w:style w:type="character" w:customStyle="1" w:styleId="TematkomentarzaZnak">
    <w:name w:val="Temat komentarza Znak"/>
    <w:basedOn w:val="TekstkomentarzaZnak"/>
    <w:link w:val="Tematkomentarza"/>
    <w:rsid w:val="001878FE"/>
    <w:rPr>
      <w:rFonts w:ascii="Calibri" w:eastAsia="Calibri" w:hAnsi="Calibri" w:cs="Times New Roman"/>
      <w:b/>
      <w:bCs/>
      <w:sz w:val="20"/>
      <w:szCs w:val="20"/>
      <w:lang w:eastAsia="pl-PL"/>
    </w:rPr>
  </w:style>
  <w:style w:type="paragraph" w:styleId="Nagwek">
    <w:name w:val="header"/>
    <w:basedOn w:val="Normalny"/>
    <w:link w:val="NagwekZnak"/>
    <w:unhideWhenUsed/>
    <w:rsid w:val="001878FE"/>
    <w:pPr>
      <w:tabs>
        <w:tab w:val="center" w:pos="4536"/>
        <w:tab w:val="right" w:pos="9072"/>
      </w:tabs>
      <w:suppressAutoHyphens/>
      <w:autoSpaceDN w:val="0"/>
      <w:spacing w:after="0" w:line="240" w:lineRule="auto"/>
      <w:textAlignment w:val="baseline"/>
    </w:pPr>
    <w:rPr>
      <w:rFonts w:eastAsia="Calibri"/>
      <w:lang w:eastAsia="en-US"/>
    </w:rPr>
  </w:style>
  <w:style w:type="character" w:customStyle="1" w:styleId="NagwekZnak">
    <w:name w:val="Nagłówek Znak"/>
    <w:basedOn w:val="Domylnaczcionkaakapitu"/>
    <w:link w:val="Nagwek"/>
    <w:rsid w:val="001878FE"/>
    <w:rPr>
      <w:rFonts w:ascii="Calibri" w:eastAsia="Calibri" w:hAnsi="Calibri" w:cs="Times New Roman"/>
    </w:rPr>
  </w:style>
  <w:style w:type="paragraph" w:styleId="Stopka">
    <w:name w:val="footer"/>
    <w:basedOn w:val="Normalny"/>
    <w:link w:val="StopkaZnak"/>
    <w:uiPriority w:val="99"/>
    <w:unhideWhenUsed/>
    <w:rsid w:val="001878FE"/>
    <w:pPr>
      <w:tabs>
        <w:tab w:val="center" w:pos="4536"/>
        <w:tab w:val="right" w:pos="9072"/>
      </w:tabs>
      <w:suppressAutoHyphens/>
      <w:autoSpaceDN w:val="0"/>
      <w:spacing w:after="0" w:line="240" w:lineRule="auto"/>
      <w:textAlignment w:val="baseline"/>
    </w:pPr>
    <w:rPr>
      <w:rFonts w:eastAsia="Calibri"/>
      <w:lang w:eastAsia="en-US"/>
    </w:rPr>
  </w:style>
  <w:style w:type="character" w:customStyle="1" w:styleId="StopkaZnak">
    <w:name w:val="Stopka Znak"/>
    <w:basedOn w:val="Domylnaczcionkaakapitu"/>
    <w:link w:val="Stopka"/>
    <w:uiPriority w:val="99"/>
    <w:rsid w:val="001878FE"/>
    <w:rPr>
      <w:rFonts w:ascii="Calibri" w:eastAsia="Calibri" w:hAnsi="Calibri" w:cs="Times New Roman"/>
    </w:rPr>
  </w:style>
  <w:style w:type="paragraph" w:styleId="Poprawka">
    <w:name w:val="Revision"/>
    <w:hidden/>
    <w:uiPriority w:val="99"/>
    <w:semiHidden/>
    <w:rsid w:val="00726AAB"/>
    <w:pPr>
      <w:spacing w:after="0" w:line="240" w:lineRule="auto"/>
    </w:pPr>
    <w:rPr>
      <w:rFonts w:ascii="Calibri" w:eastAsia="Times New Roman" w:hAnsi="Calibri" w:cs="Times New Roman"/>
      <w:lang w:eastAsia="pl-PL"/>
    </w:rPr>
  </w:style>
  <w:style w:type="table" w:styleId="Tabela-Siatka">
    <w:name w:val="Table Grid"/>
    <w:basedOn w:val="Standardowy"/>
    <w:uiPriority w:val="59"/>
    <w:rsid w:val="00D827E7"/>
    <w:pPr>
      <w:spacing w:after="0" w:line="240" w:lineRule="auto"/>
    </w:pPr>
    <w:rPr>
      <w:rFonts w:ascii="Georgia" w:hAnsi="Georgia"/>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F0DF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43294-DD62-45CB-A76C-16EBA350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2151</Words>
  <Characters>12909</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2020-02-06T14:42:00Z</dcterms:created>
  <dcterms:modified xsi:type="dcterms:W3CDTF">2021-01-11T07:55:00Z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7e4972-a3b7-4d51-a933-10309688c2b7_Application">
    <vt:lpwstr>Microsoft Azure Information Protection</vt:lpwstr>
  </property>
  <property fmtid="{D5CDD505-2E9C-101B-9397-08002B2CF9AE}" pid="3" name="MSIP_Label_6a7e4972-a3b7-4d51-a933-10309688c2b7_Enabled">
    <vt:lpwstr>True</vt:lpwstr>
  </property>
  <property fmtid="{D5CDD505-2E9C-101B-9397-08002B2CF9AE}" pid="4" name="MSIP_Label_6a7e4972-a3b7-4d51-a933-10309688c2b7_Extended_MSFT_Method">
    <vt:lpwstr>Automatic</vt:lpwstr>
  </property>
  <property fmtid="{D5CDD505-2E9C-101B-9397-08002B2CF9AE}" pid="5" name="MSIP_Label_6a7e4972-a3b7-4d51-a933-10309688c2b7_Name">
    <vt:lpwstr>Publiczne</vt:lpwstr>
  </property>
  <property fmtid="{D5CDD505-2E9C-101B-9397-08002B2CF9AE}" pid="6" name="MSIP_Label_6a7e4972-a3b7-4d51-a933-10309688c2b7_Owner">
    <vt:lpwstr>jaroslaw.wieckowski@pfrventures.pl</vt:lpwstr>
  </property>
  <property fmtid="{D5CDD505-2E9C-101B-9397-08002B2CF9AE}" pid="7" name="MSIP_Label_6a7e4972-a3b7-4d51-a933-10309688c2b7_Ref">
    <vt:lpwstr>https://api.informationprotection.azure.com/api/0d2b6bbb-a69c-41e8-9ef1-c035572bd00e</vt:lpwstr>
  </property>
  <property fmtid="{D5CDD505-2E9C-101B-9397-08002B2CF9AE}" pid="8" name="MSIP_Label_6a7e4972-a3b7-4d51-a933-10309688c2b7_SetDate">
    <vt:lpwstr>2017-11-03T15:11:49.3147356+01:00</vt:lpwstr>
  </property>
  <property fmtid="{D5CDD505-2E9C-101B-9397-08002B2CF9AE}" pid="9" name="MSIP_Label_6a7e4972-a3b7-4d51-a933-10309688c2b7_SiteId">
    <vt:lpwstr>0d2b6bbb-a69c-41e8-9ef1-c035572bd00e</vt:lpwstr>
  </property>
  <property fmtid="{D5CDD505-2E9C-101B-9397-08002B2CF9AE}" pid="10" name="Sensitivity">
    <vt:lpwstr>Publiczne</vt:lpwstr>
  </property>
</Properties>
</file>